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/>
          <w:b/>
          <w:bCs/>
          <w:sz w:val="36"/>
          <w:szCs w:val="36"/>
        </w:rPr>
      </w:pPr>
    </w:p>
    <w:p>
      <w:pPr>
        <w:jc w:val="center"/>
        <w:rPr>
          <w:rFonts w:ascii="Times New Roman" w:hAnsi="Times New Roman" w:eastAsia="楷体_GB2312"/>
          <w:b/>
          <w:bCs/>
          <w:sz w:val="36"/>
          <w:szCs w:val="36"/>
        </w:rPr>
      </w:pPr>
    </w:p>
    <w:p>
      <w:pPr>
        <w:jc w:val="center"/>
        <w:rPr>
          <w:rFonts w:ascii="Times New Roman" w:hAnsi="Times New Roman" w:eastAsia="楷体_GB2312"/>
          <w:b/>
          <w:bCs/>
          <w:sz w:val="36"/>
          <w:szCs w:val="36"/>
        </w:rPr>
      </w:pPr>
    </w:p>
    <w:p>
      <w:pPr>
        <w:jc w:val="center"/>
        <w:rPr>
          <w:rFonts w:ascii="Times New Roman" w:hAnsi="Times New Roman" w:eastAsia="楷体_GB2312"/>
          <w:b/>
          <w:bCs/>
          <w:sz w:val="36"/>
          <w:szCs w:val="36"/>
        </w:rPr>
      </w:pPr>
    </w:p>
    <w:p>
      <w:pPr>
        <w:jc w:val="center"/>
        <w:rPr>
          <w:rFonts w:ascii="华文中宋" w:hAnsi="华文中宋" w:eastAsia="华文中宋" w:cs="华文中宋"/>
          <w:b/>
          <w:sz w:val="52"/>
          <w:szCs w:val="52"/>
        </w:rPr>
      </w:pPr>
      <w:bookmarkStart w:id="88" w:name="_GoBack"/>
      <w:r>
        <w:rPr>
          <w:rFonts w:hint="eastAsia" w:ascii="华文中宋" w:hAnsi="华文中宋" w:eastAsia="华文中宋" w:cs="华文中宋"/>
          <w:b/>
          <w:sz w:val="52"/>
          <w:szCs w:val="52"/>
        </w:rPr>
        <w:t>2019年度宿州市萧县青龙镇中心学校单位</w:t>
      </w:r>
    </w:p>
    <w:p>
      <w:pPr>
        <w:jc w:val="center"/>
        <w:rPr>
          <w:rFonts w:ascii="华文中宋" w:hAnsi="华文中宋" w:eastAsia="华文中宋" w:cs="华文中宋"/>
          <w:b/>
          <w:sz w:val="52"/>
          <w:szCs w:val="52"/>
        </w:rPr>
      </w:pPr>
      <w:r>
        <w:rPr>
          <w:rFonts w:hint="eastAsia" w:ascii="华文中宋" w:hAnsi="华文中宋" w:eastAsia="华文中宋" w:cs="华文中宋"/>
          <w:b/>
          <w:sz w:val="52"/>
          <w:szCs w:val="52"/>
        </w:rPr>
        <w:t>财务报告</w:t>
      </w:r>
    </w:p>
    <w:bookmarkEnd w:id="88"/>
    <w:p>
      <w:pPr>
        <w:jc w:val="center"/>
        <w:rPr>
          <w:rFonts w:ascii="Times New Roman" w:hAnsi="Times New Roman" w:eastAsia="微软雅黑" w:cs="Times New Roman"/>
          <w:b/>
          <w:bCs/>
          <w:sz w:val="52"/>
          <w:szCs w:val="52"/>
        </w:rPr>
      </w:pPr>
    </w:p>
    <w:p>
      <w:pPr>
        <w:jc w:val="center"/>
        <w:rPr>
          <w:rFonts w:ascii="Times New Roman" w:hAnsi="Times New Roman" w:eastAsia="微软雅黑"/>
          <w:b/>
          <w:bCs/>
          <w:sz w:val="52"/>
          <w:szCs w:val="52"/>
        </w:rPr>
      </w:pPr>
    </w:p>
    <w:p>
      <w:pPr>
        <w:jc w:val="center"/>
        <w:rPr>
          <w:rFonts w:ascii="Times New Roman" w:hAnsi="Times New Roman"/>
          <w:b/>
          <w:bCs/>
          <w:sz w:val="36"/>
          <w:szCs w:val="36"/>
        </w:rPr>
      </w:pPr>
    </w:p>
    <w:p>
      <w:pPr>
        <w:jc w:val="center"/>
        <w:rPr>
          <w:rFonts w:ascii="Times New Roman" w:hAnsi="Times New Roman"/>
          <w:b/>
          <w:bCs/>
          <w:sz w:val="36"/>
          <w:szCs w:val="36"/>
        </w:rPr>
      </w:pPr>
    </w:p>
    <w:p>
      <w:pPr>
        <w:jc w:val="center"/>
        <w:rPr>
          <w:rFonts w:ascii="Times New Roman" w:hAnsi="Times New Roman"/>
          <w:b/>
          <w:bCs/>
          <w:sz w:val="36"/>
          <w:szCs w:val="36"/>
        </w:rPr>
      </w:pPr>
    </w:p>
    <w:p>
      <w:pPr>
        <w:jc w:val="center"/>
        <w:rPr>
          <w:rFonts w:ascii="Times New Roman" w:hAnsi="Times New Roman"/>
          <w:b/>
          <w:bCs/>
          <w:sz w:val="36"/>
          <w:szCs w:val="36"/>
        </w:rPr>
      </w:pPr>
    </w:p>
    <w:p>
      <w:pPr>
        <w:widowControl w:val="0"/>
        <w:ind w:left="1560" w:leftChars="650"/>
        <w:jc w:val="both"/>
        <w:rPr>
          <w:rFonts w:cs="仿宋_GB2312" w:asciiTheme="minorEastAsia" w:hAnsiTheme="minorEastAsia" w:eastAsiaTheme="minorEastAsia"/>
          <w:bCs/>
          <w:kern w:val="16"/>
          <w:sz w:val="32"/>
          <w:szCs w:val="32"/>
        </w:rPr>
      </w:pPr>
      <w:r>
        <w:rPr>
          <w:rFonts w:hint="eastAsia" w:cs="微软雅黑" w:asciiTheme="minorEastAsia" w:hAnsiTheme="minorEastAsia" w:eastAsiaTheme="minorEastAsia"/>
          <w:bCs/>
          <w:sz w:val="32"/>
          <w:szCs w:val="52"/>
        </w:rPr>
        <w:t>部门（单</w:t>
      </w:r>
      <w:r>
        <w:rPr>
          <w:rFonts w:hint="eastAsia" w:cs="仿宋_GB2312" w:asciiTheme="minorEastAsia" w:hAnsiTheme="minorEastAsia" w:eastAsiaTheme="minorEastAsia"/>
          <w:bCs/>
          <w:kern w:val="16"/>
          <w:sz w:val="32"/>
          <w:szCs w:val="32"/>
        </w:rPr>
        <w:t>位）名称：萧县青龙镇中心学校（公章）</w:t>
      </w:r>
    </w:p>
    <w:p>
      <w:pPr>
        <w:widowControl w:val="0"/>
        <w:ind w:left="1560" w:leftChars="650"/>
        <w:jc w:val="both"/>
        <w:rPr>
          <w:rFonts w:cs="仿宋_GB2312" w:asciiTheme="minorEastAsia" w:hAnsiTheme="minorEastAsia" w:eastAsiaTheme="minorEastAsia"/>
          <w:bCs/>
          <w:kern w:val="16"/>
          <w:sz w:val="32"/>
          <w:szCs w:val="32"/>
        </w:rPr>
      </w:pPr>
    </w:p>
    <w:p>
      <w:pPr>
        <w:widowControl w:val="0"/>
        <w:ind w:left="1560" w:leftChars="650"/>
        <w:jc w:val="both"/>
        <w:rPr>
          <w:rFonts w:cs="仿宋_GB2312" w:asciiTheme="minorEastAsia" w:hAnsiTheme="minorEastAsia" w:eastAsiaTheme="minorEastAsia"/>
          <w:bCs/>
          <w:kern w:val="16"/>
          <w:sz w:val="32"/>
          <w:szCs w:val="32"/>
        </w:rPr>
      </w:pPr>
      <w:r>
        <w:rPr>
          <w:rFonts w:hint="eastAsia" w:cs="仿宋_GB2312" w:asciiTheme="minorEastAsia" w:hAnsiTheme="minorEastAsia" w:eastAsiaTheme="minorEastAsia"/>
          <w:bCs/>
          <w:kern w:val="16"/>
          <w:sz w:val="32"/>
          <w:szCs w:val="32"/>
        </w:rPr>
        <w:t>单位负责人：李明华（签名并盖章）</w:t>
      </w:r>
    </w:p>
    <w:p>
      <w:pPr>
        <w:widowControl w:val="0"/>
        <w:ind w:left="1560" w:leftChars="650"/>
        <w:jc w:val="both"/>
        <w:rPr>
          <w:rFonts w:cs="仿宋_GB2312" w:asciiTheme="minorEastAsia" w:hAnsiTheme="minorEastAsia" w:eastAsiaTheme="minorEastAsia"/>
          <w:bCs/>
          <w:kern w:val="16"/>
          <w:sz w:val="32"/>
          <w:szCs w:val="32"/>
        </w:rPr>
      </w:pPr>
      <w:r>
        <w:rPr>
          <w:rFonts w:hint="eastAsia" w:cs="仿宋_GB2312" w:asciiTheme="minorEastAsia" w:hAnsiTheme="minorEastAsia" w:eastAsiaTheme="minorEastAsia"/>
          <w:bCs/>
          <w:kern w:val="16"/>
          <w:sz w:val="32"/>
          <w:szCs w:val="32"/>
        </w:rPr>
        <w:t>财务负责人：李相峰（签名并盖章）</w:t>
      </w:r>
    </w:p>
    <w:p>
      <w:pPr>
        <w:widowControl w:val="0"/>
        <w:ind w:left="1560" w:leftChars="650"/>
        <w:jc w:val="both"/>
        <w:rPr>
          <w:rFonts w:cs="仿宋_GB2312" w:asciiTheme="minorEastAsia" w:hAnsiTheme="minorEastAsia" w:eastAsiaTheme="minorEastAsia"/>
          <w:bCs/>
          <w:kern w:val="16"/>
          <w:sz w:val="32"/>
          <w:szCs w:val="32"/>
        </w:rPr>
      </w:pPr>
      <w:r>
        <w:rPr>
          <w:rFonts w:hint="eastAsia" w:cs="仿宋_GB2312" w:asciiTheme="minorEastAsia" w:hAnsiTheme="minorEastAsia" w:eastAsiaTheme="minorEastAsia"/>
          <w:bCs/>
          <w:kern w:val="16"/>
          <w:sz w:val="32"/>
          <w:szCs w:val="32"/>
        </w:rPr>
        <w:t>编制人：李相峰（签章）</w:t>
      </w:r>
    </w:p>
    <w:p>
      <w:pPr>
        <w:widowControl w:val="0"/>
        <w:ind w:left="1560" w:leftChars="650"/>
        <w:jc w:val="both"/>
        <w:rPr>
          <w:rFonts w:cs="仿宋_GB2312" w:asciiTheme="minorEastAsia" w:hAnsiTheme="minorEastAsia" w:eastAsiaTheme="minorEastAsia"/>
          <w:bCs/>
          <w:kern w:val="16"/>
          <w:sz w:val="32"/>
          <w:szCs w:val="32"/>
        </w:rPr>
      </w:pPr>
      <w:r>
        <w:rPr>
          <w:rFonts w:hint="eastAsia" w:cs="仿宋_GB2312" w:asciiTheme="minorEastAsia" w:hAnsiTheme="minorEastAsia" w:eastAsiaTheme="minorEastAsia"/>
          <w:bCs/>
          <w:kern w:val="16"/>
          <w:sz w:val="32"/>
          <w:szCs w:val="32"/>
        </w:rPr>
        <w:t>报送日期：2020年6月</w:t>
      </w:r>
    </w:p>
    <w:p>
      <w:pPr>
        <w:pStyle w:val="119"/>
        <w:ind w:firstLine="198"/>
        <w:outlineLvl w:val="3"/>
        <w:rPr>
          <w:sz w:val="36"/>
        </w:rPr>
        <w:sectPr>
          <w:headerReference r:id="rId5" w:type="first"/>
          <w:footerReference r:id="rId7" w:type="first"/>
          <w:headerReference r:id="rId4" w:type="default"/>
          <w:footerReference r:id="rId6" w:type="default"/>
          <w:footnotePr>
            <w:numFmt w:val="decimalEnclosedCircleChinese"/>
          </w:footnotePr>
          <w:pgSz w:w="11906" w:h="16838"/>
          <w:pgMar w:top="1440" w:right="1083" w:bottom="1440" w:left="1083" w:header="851" w:footer="992" w:gutter="0"/>
          <w:pgNumType w:start="1"/>
          <w:cols w:space="425" w:num="1"/>
          <w:titlePg/>
          <w:docGrid w:type="lines" w:linePitch="326" w:charSpace="0"/>
        </w:sectPr>
      </w:pPr>
      <w:bookmarkStart w:id="0" w:name="_Toc435363575"/>
      <w:bookmarkStart w:id="1" w:name="_Toc435370952"/>
      <w:bookmarkStart w:id="2" w:name="_Toc436083526"/>
      <w:bookmarkStart w:id="3" w:name="_Toc503548883"/>
      <w:bookmarkStart w:id="4" w:name="_Toc435714296"/>
      <w:bookmarkStart w:id="5" w:name="_Toc435362709"/>
      <w:bookmarkStart w:id="6" w:name="_Toc435363359"/>
      <w:bookmarkStart w:id="7" w:name="_Toc435711768"/>
      <w:bookmarkStart w:id="8" w:name="_Toc435361472"/>
      <w:bookmarkStart w:id="9" w:name="_Toc430698577"/>
      <w:bookmarkStart w:id="10" w:name="_Toc435361710"/>
    </w:p>
    <w:p>
      <w:pPr>
        <w:pStyle w:val="119"/>
        <w:ind w:firstLine="198"/>
        <w:outlineLvl w:val="9"/>
        <w:rPr>
          <w:b w:val="0"/>
          <w:sz w:val="36"/>
        </w:rPr>
      </w:pPr>
      <w:bookmarkStart w:id="11" w:name="_Toc35452574"/>
      <w:r>
        <w:rPr>
          <w:rFonts w:hint="eastAsia"/>
          <w:b w:val="0"/>
          <w:sz w:val="36"/>
        </w:rPr>
        <w:t>目录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11"/>
    </w:p>
    <w:bookmarkEnd w:id="8"/>
    <w:bookmarkEnd w:id="9"/>
    <w:bookmarkEnd w:id="10"/>
    <w:p>
      <w:pPr>
        <w:pStyle w:val="23"/>
        <w:tabs>
          <w:tab w:val="right" w:leader="dot" w:pos="8302"/>
        </w:tabs>
        <w:spacing w:line="440" w:lineRule="exact"/>
        <w:rPr>
          <w:rFonts w:ascii="黑体" w:hAnsi="黑体" w:eastAsia="黑体" w:cstheme="minorBidi"/>
          <w:b w:val="0"/>
          <w:bCs w:val="0"/>
          <w:caps w:val="0"/>
          <w:kern w:val="2"/>
          <w:sz w:val="28"/>
          <w:szCs w:val="28"/>
        </w:rPr>
      </w:pPr>
      <w:r>
        <w:rPr>
          <w:rFonts w:asciiTheme="minorEastAsia" w:hAnsiTheme="minorEastAsia" w:eastAsiaTheme="minorEastAsia"/>
          <w:b w:val="0"/>
          <w:smallCaps/>
          <w:sz w:val="28"/>
          <w:szCs w:val="28"/>
        </w:rPr>
        <w:fldChar w:fldCharType="begin"/>
      </w:r>
      <w:r>
        <w:rPr>
          <w:rFonts w:asciiTheme="minorEastAsia" w:hAnsiTheme="minorEastAsia" w:eastAsiaTheme="minorEastAsia"/>
          <w:b w:val="0"/>
          <w:smallCaps/>
          <w:sz w:val="28"/>
          <w:szCs w:val="28"/>
        </w:rPr>
        <w:instrText xml:space="preserve"> TOC \o "1-3" \h \z \u </w:instrText>
      </w:r>
      <w:r>
        <w:rPr>
          <w:rFonts w:asciiTheme="minorEastAsia" w:hAnsiTheme="minorEastAsia" w:eastAsiaTheme="minorEastAsia"/>
          <w:b w:val="0"/>
          <w:smallCaps/>
          <w:sz w:val="28"/>
          <w:szCs w:val="28"/>
        </w:rPr>
        <w:fldChar w:fldCharType="separate"/>
      </w:r>
      <w:r>
        <w:fldChar w:fldCharType="begin"/>
      </w:r>
      <w:r>
        <w:instrText xml:space="preserve"> HYPERLINK \l "_Toc35500801" </w:instrText>
      </w:r>
      <w:r>
        <w:fldChar w:fldCharType="separate"/>
      </w:r>
      <w:r>
        <w:rPr>
          <w:rStyle w:val="40"/>
          <w:rFonts w:ascii="黑体" w:hAnsi="黑体" w:eastAsia="黑体"/>
          <w:color w:val="auto"/>
          <w:sz w:val="28"/>
          <w:szCs w:val="28"/>
        </w:rPr>
        <w:t>一、政府部门财务报表</w:t>
      </w:r>
      <w:r>
        <w:rPr>
          <w:rFonts w:ascii="黑体" w:hAnsi="黑体" w:eastAsia="黑体"/>
          <w:sz w:val="28"/>
          <w:szCs w:val="28"/>
        </w:rPr>
        <w:tab/>
      </w:r>
      <w:r>
        <w:rPr>
          <w:rFonts w:ascii="黑体" w:hAnsi="黑体" w:eastAsia="黑体"/>
          <w:sz w:val="28"/>
          <w:szCs w:val="28"/>
        </w:rPr>
        <w:fldChar w:fldCharType="begin"/>
      </w:r>
      <w:r>
        <w:rPr>
          <w:rFonts w:ascii="黑体" w:hAnsi="黑体" w:eastAsia="黑体"/>
          <w:sz w:val="28"/>
          <w:szCs w:val="28"/>
        </w:rPr>
        <w:instrText xml:space="preserve"> PAGEREF _Toc35500801 \h </w:instrText>
      </w:r>
      <w:r>
        <w:rPr>
          <w:rFonts w:ascii="黑体" w:hAnsi="黑体" w:eastAsia="黑体"/>
          <w:sz w:val="28"/>
          <w:szCs w:val="28"/>
        </w:rPr>
        <w:fldChar w:fldCharType="separate"/>
      </w:r>
      <w:r>
        <w:rPr>
          <w:rFonts w:ascii="黑体" w:hAnsi="黑体" w:eastAsia="黑体"/>
          <w:sz w:val="28"/>
          <w:szCs w:val="28"/>
        </w:rPr>
        <w:t>1</w:t>
      </w:r>
      <w:r>
        <w:rPr>
          <w:rFonts w:ascii="黑体" w:hAnsi="黑体" w:eastAsia="黑体"/>
          <w:sz w:val="28"/>
          <w:szCs w:val="28"/>
        </w:rPr>
        <w:fldChar w:fldCharType="end"/>
      </w:r>
      <w:r>
        <w:rPr>
          <w:rFonts w:ascii="黑体" w:hAnsi="黑体" w:eastAsia="黑体"/>
          <w:sz w:val="28"/>
          <w:szCs w:val="28"/>
        </w:rPr>
        <w:fldChar w:fldCharType="end"/>
      </w:r>
    </w:p>
    <w:p>
      <w:pPr>
        <w:pStyle w:val="28"/>
        <w:tabs>
          <w:tab w:val="right" w:leader="dot" w:pos="8302"/>
        </w:tabs>
        <w:spacing w:line="440" w:lineRule="exact"/>
        <w:ind w:leftChars="100"/>
        <w:rPr>
          <w:rFonts w:ascii="宋体" w:hAnsi="宋体" w:cstheme="minorBidi"/>
          <w:smallCaps w:val="0"/>
          <w:kern w:val="2"/>
          <w:sz w:val="24"/>
          <w:szCs w:val="24"/>
        </w:rPr>
      </w:pPr>
      <w:r>
        <w:fldChar w:fldCharType="begin"/>
      </w:r>
      <w:r>
        <w:instrText xml:space="preserve"> HYPERLINK \l "_Toc35500802" </w:instrText>
      </w:r>
      <w:r>
        <w:fldChar w:fldCharType="separate"/>
      </w:r>
      <w:r>
        <w:rPr>
          <w:rStyle w:val="40"/>
          <w:rFonts w:ascii="宋体" w:hAnsi="宋体"/>
          <w:color w:val="auto"/>
          <w:sz w:val="24"/>
          <w:szCs w:val="24"/>
        </w:rPr>
        <w:t>（一）政府部门会计报表</w:t>
      </w:r>
      <w:r>
        <w:rPr>
          <w:rFonts w:ascii="宋体" w:hAnsi="宋体"/>
          <w:sz w:val="24"/>
          <w:szCs w:val="24"/>
        </w:rPr>
        <w:tab/>
      </w:r>
      <w:r>
        <w:rPr>
          <w:rFonts w:ascii="宋体" w:hAnsi="宋体"/>
          <w:sz w:val="24"/>
          <w:szCs w:val="24"/>
        </w:rPr>
        <w:fldChar w:fldCharType="begin"/>
      </w:r>
      <w:r>
        <w:rPr>
          <w:rFonts w:ascii="宋体" w:hAnsi="宋体"/>
          <w:sz w:val="24"/>
          <w:szCs w:val="24"/>
        </w:rPr>
        <w:instrText xml:space="preserve"> PAGEREF _Toc35500802 \h </w:instrText>
      </w:r>
      <w:r>
        <w:rPr>
          <w:rFonts w:ascii="宋体" w:hAnsi="宋体"/>
          <w:sz w:val="24"/>
          <w:szCs w:val="24"/>
        </w:rPr>
        <w:fldChar w:fldCharType="separate"/>
      </w:r>
      <w:r>
        <w:rPr>
          <w:rFonts w:ascii="宋体" w:hAnsi="宋体"/>
          <w:sz w:val="24"/>
          <w:szCs w:val="24"/>
        </w:rPr>
        <w:t>1</w:t>
      </w:r>
      <w:r>
        <w:rPr>
          <w:rFonts w:ascii="宋体" w:hAnsi="宋体"/>
          <w:sz w:val="24"/>
          <w:szCs w:val="24"/>
        </w:rPr>
        <w:fldChar w:fldCharType="end"/>
      </w:r>
      <w:r>
        <w:rPr>
          <w:rFonts w:ascii="宋体" w:hAnsi="宋体"/>
          <w:sz w:val="24"/>
          <w:szCs w:val="24"/>
        </w:rPr>
        <w:fldChar w:fldCharType="end"/>
      </w:r>
    </w:p>
    <w:p>
      <w:pPr>
        <w:pStyle w:val="17"/>
        <w:tabs>
          <w:tab w:val="right" w:leader="dot" w:pos="8302"/>
        </w:tabs>
        <w:spacing w:line="440" w:lineRule="exact"/>
        <w:ind w:leftChars="200"/>
        <w:rPr>
          <w:rFonts w:ascii="宋体" w:hAnsi="宋体" w:cstheme="minorBidi"/>
          <w:i w:val="0"/>
          <w:iCs w:val="0"/>
          <w:kern w:val="2"/>
          <w:sz w:val="24"/>
          <w:szCs w:val="24"/>
        </w:rPr>
      </w:pPr>
      <w:r>
        <w:fldChar w:fldCharType="begin"/>
      </w:r>
      <w:r>
        <w:instrText xml:space="preserve"> HYPERLINK \l "_Toc35500803" </w:instrText>
      </w:r>
      <w:r>
        <w:fldChar w:fldCharType="separate"/>
      </w:r>
      <w:r>
        <w:rPr>
          <w:rStyle w:val="40"/>
          <w:rFonts w:ascii="宋体" w:hAnsi="宋体"/>
          <w:bCs/>
          <w:i w:val="0"/>
          <w:color w:val="auto"/>
          <w:sz w:val="24"/>
          <w:szCs w:val="24"/>
        </w:rPr>
        <w:t>资产负债表</w:t>
      </w:r>
      <w:r>
        <w:rPr>
          <w:rFonts w:ascii="宋体" w:hAnsi="宋体"/>
          <w:i w:val="0"/>
          <w:sz w:val="24"/>
          <w:szCs w:val="24"/>
        </w:rPr>
        <w:tab/>
      </w:r>
      <w:r>
        <w:rPr>
          <w:rFonts w:ascii="宋体" w:hAnsi="宋体"/>
          <w:i w:val="0"/>
          <w:sz w:val="24"/>
          <w:szCs w:val="24"/>
        </w:rPr>
        <w:fldChar w:fldCharType="begin"/>
      </w:r>
      <w:r>
        <w:rPr>
          <w:rFonts w:ascii="宋体" w:hAnsi="宋体"/>
          <w:i w:val="0"/>
          <w:sz w:val="24"/>
          <w:szCs w:val="24"/>
        </w:rPr>
        <w:instrText xml:space="preserve"> PAGEREF _Toc35500803 \h </w:instrText>
      </w:r>
      <w:r>
        <w:rPr>
          <w:rFonts w:ascii="宋体" w:hAnsi="宋体"/>
          <w:i w:val="0"/>
          <w:sz w:val="24"/>
          <w:szCs w:val="24"/>
        </w:rPr>
        <w:fldChar w:fldCharType="separate"/>
      </w:r>
      <w:r>
        <w:rPr>
          <w:rFonts w:ascii="宋体" w:hAnsi="宋体"/>
          <w:i w:val="0"/>
          <w:sz w:val="24"/>
          <w:szCs w:val="24"/>
        </w:rPr>
        <w:t>1</w:t>
      </w:r>
      <w:r>
        <w:rPr>
          <w:rFonts w:ascii="宋体" w:hAnsi="宋体"/>
          <w:i w:val="0"/>
          <w:sz w:val="24"/>
          <w:szCs w:val="24"/>
        </w:rPr>
        <w:fldChar w:fldCharType="end"/>
      </w:r>
      <w:r>
        <w:rPr>
          <w:rFonts w:ascii="宋体" w:hAnsi="宋体"/>
          <w:i w:val="0"/>
          <w:sz w:val="24"/>
          <w:szCs w:val="24"/>
        </w:rPr>
        <w:fldChar w:fldCharType="end"/>
      </w:r>
    </w:p>
    <w:p>
      <w:pPr>
        <w:pStyle w:val="17"/>
        <w:tabs>
          <w:tab w:val="right" w:leader="dot" w:pos="8302"/>
        </w:tabs>
        <w:spacing w:line="440" w:lineRule="exact"/>
        <w:ind w:leftChars="200"/>
        <w:rPr>
          <w:rFonts w:ascii="宋体" w:hAnsi="宋体" w:cstheme="minorBidi"/>
          <w:i w:val="0"/>
          <w:iCs w:val="0"/>
          <w:kern w:val="2"/>
          <w:sz w:val="24"/>
          <w:szCs w:val="24"/>
        </w:rPr>
      </w:pPr>
      <w:r>
        <w:fldChar w:fldCharType="begin"/>
      </w:r>
      <w:r>
        <w:instrText xml:space="preserve"> HYPERLINK \l "_Toc35500804" </w:instrText>
      </w:r>
      <w:r>
        <w:fldChar w:fldCharType="separate"/>
      </w:r>
      <w:r>
        <w:rPr>
          <w:rStyle w:val="40"/>
          <w:rFonts w:ascii="宋体" w:hAnsi="宋体"/>
          <w:bCs/>
          <w:i w:val="0"/>
          <w:color w:val="auto"/>
          <w:sz w:val="24"/>
          <w:szCs w:val="24"/>
        </w:rPr>
        <w:t>收入费用表（1）</w:t>
      </w:r>
      <w:r>
        <w:rPr>
          <w:rFonts w:ascii="宋体" w:hAnsi="宋体"/>
          <w:i w:val="0"/>
          <w:sz w:val="24"/>
          <w:szCs w:val="24"/>
        </w:rPr>
        <w:tab/>
      </w:r>
      <w:r>
        <w:rPr>
          <w:rFonts w:ascii="宋体" w:hAnsi="宋体"/>
          <w:i w:val="0"/>
          <w:sz w:val="24"/>
          <w:szCs w:val="24"/>
        </w:rPr>
        <w:fldChar w:fldCharType="begin"/>
      </w:r>
      <w:r>
        <w:rPr>
          <w:rFonts w:ascii="宋体" w:hAnsi="宋体"/>
          <w:i w:val="0"/>
          <w:sz w:val="24"/>
          <w:szCs w:val="24"/>
        </w:rPr>
        <w:instrText xml:space="preserve"> PAGEREF _Toc35500804 \h </w:instrText>
      </w:r>
      <w:r>
        <w:rPr>
          <w:rFonts w:ascii="宋体" w:hAnsi="宋体"/>
          <w:i w:val="0"/>
          <w:sz w:val="24"/>
          <w:szCs w:val="24"/>
        </w:rPr>
        <w:fldChar w:fldCharType="separate"/>
      </w:r>
      <w:r>
        <w:rPr>
          <w:rFonts w:ascii="宋体" w:hAnsi="宋体"/>
          <w:i w:val="0"/>
          <w:sz w:val="24"/>
          <w:szCs w:val="24"/>
        </w:rPr>
        <w:t>1</w:t>
      </w:r>
      <w:r>
        <w:rPr>
          <w:rFonts w:ascii="宋体" w:hAnsi="宋体"/>
          <w:i w:val="0"/>
          <w:sz w:val="24"/>
          <w:szCs w:val="24"/>
        </w:rPr>
        <w:fldChar w:fldCharType="end"/>
      </w:r>
      <w:r>
        <w:rPr>
          <w:rFonts w:ascii="宋体" w:hAnsi="宋体"/>
          <w:i w:val="0"/>
          <w:sz w:val="24"/>
          <w:szCs w:val="24"/>
        </w:rPr>
        <w:fldChar w:fldCharType="end"/>
      </w:r>
    </w:p>
    <w:p>
      <w:pPr>
        <w:pStyle w:val="17"/>
        <w:tabs>
          <w:tab w:val="right" w:leader="dot" w:pos="8302"/>
        </w:tabs>
        <w:spacing w:line="440" w:lineRule="exact"/>
        <w:ind w:leftChars="200"/>
        <w:rPr>
          <w:rFonts w:ascii="宋体" w:hAnsi="宋体" w:cstheme="minorBidi"/>
          <w:i w:val="0"/>
          <w:iCs w:val="0"/>
          <w:kern w:val="2"/>
          <w:sz w:val="24"/>
          <w:szCs w:val="24"/>
        </w:rPr>
      </w:pPr>
      <w:r>
        <w:fldChar w:fldCharType="begin"/>
      </w:r>
      <w:r>
        <w:instrText xml:space="preserve"> HYPERLINK \l "_Toc35500805" </w:instrText>
      </w:r>
      <w:r>
        <w:fldChar w:fldCharType="separate"/>
      </w:r>
      <w:r>
        <w:rPr>
          <w:rStyle w:val="40"/>
          <w:rFonts w:ascii="宋体" w:hAnsi="宋体"/>
          <w:bCs/>
          <w:i w:val="0"/>
          <w:color w:val="auto"/>
          <w:sz w:val="24"/>
          <w:szCs w:val="24"/>
        </w:rPr>
        <w:t>收入费用表（2）</w:t>
      </w:r>
      <w:r>
        <w:rPr>
          <w:rFonts w:ascii="宋体" w:hAnsi="宋体"/>
          <w:i w:val="0"/>
          <w:sz w:val="24"/>
          <w:szCs w:val="24"/>
        </w:rPr>
        <w:tab/>
      </w:r>
      <w:r>
        <w:rPr>
          <w:rFonts w:ascii="宋体" w:hAnsi="宋体"/>
          <w:i w:val="0"/>
          <w:sz w:val="24"/>
          <w:szCs w:val="24"/>
        </w:rPr>
        <w:fldChar w:fldCharType="begin"/>
      </w:r>
      <w:r>
        <w:rPr>
          <w:rFonts w:ascii="宋体" w:hAnsi="宋体"/>
          <w:i w:val="0"/>
          <w:sz w:val="24"/>
          <w:szCs w:val="24"/>
        </w:rPr>
        <w:instrText xml:space="preserve"> PAGEREF _Toc35500805 \h </w:instrText>
      </w:r>
      <w:r>
        <w:rPr>
          <w:rFonts w:ascii="宋体" w:hAnsi="宋体"/>
          <w:i w:val="0"/>
          <w:sz w:val="24"/>
          <w:szCs w:val="24"/>
        </w:rPr>
        <w:fldChar w:fldCharType="separate"/>
      </w:r>
      <w:r>
        <w:rPr>
          <w:rFonts w:ascii="宋体" w:hAnsi="宋体"/>
          <w:i w:val="0"/>
          <w:sz w:val="24"/>
          <w:szCs w:val="24"/>
        </w:rPr>
        <w:t>1</w:t>
      </w:r>
      <w:r>
        <w:rPr>
          <w:rFonts w:ascii="宋体" w:hAnsi="宋体"/>
          <w:i w:val="0"/>
          <w:sz w:val="24"/>
          <w:szCs w:val="24"/>
        </w:rPr>
        <w:fldChar w:fldCharType="end"/>
      </w:r>
      <w:r>
        <w:rPr>
          <w:rFonts w:ascii="宋体" w:hAnsi="宋体"/>
          <w:i w:val="0"/>
          <w:sz w:val="24"/>
          <w:szCs w:val="24"/>
        </w:rPr>
        <w:fldChar w:fldCharType="end"/>
      </w:r>
    </w:p>
    <w:p>
      <w:pPr>
        <w:pStyle w:val="28"/>
        <w:tabs>
          <w:tab w:val="right" w:leader="dot" w:pos="8302"/>
        </w:tabs>
        <w:spacing w:line="440" w:lineRule="exact"/>
        <w:ind w:leftChars="100"/>
        <w:rPr>
          <w:rFonts w:ascii="宋体" w:hAnsi="宋体" w:cstheme="minorBidi"/>
          <w:smallCaps w:val="0"/>
          <w:kern w:val="2"/>
          <w:sz w:val="24"/>
          <w:szCs w:val="24"/>
        </w:rPr>
      </w:pPr>
      <w:r>
        <w:fldChar w:fldCharType="begin"/>
      </w:r>
      <w:r>
        <w:instrText xml:space="preserve"> HYPERLINK \l "_Toc35500806" </w:instrText>
      </w:r>
      <w:r>
        <w:fldChar w:fldCharType="separate"/>
      </w:r>
      <w:r>
        <w:rPr>
          <w:rStyle w:val="40"/>
          <w:rFonts w:ascii="宋体" w:hAnsi="宋体"/>
          <w:color w:val="auto"/>
          <w:sz w:val="24"/>
          <w:szCs w:val="24"/>
        </w:rPr>
        <w:t>（二）政府部门会计报表附注</w:t>
      </w:r>
      <w:r>
        <w:rPr>
          <w:rFonts w:ascii="宋体" w:hAnsi="宋体"/>
          <w:sz w:val="24"/>
          <w:szCs w:val="24"/>
        </w:rPr>
        <w:tab/>
      </w:r>
      <w:r>
        <w:rPr>
          <w:rFonts w:ascii="宋体" w:hAnsi="宋体"/>
          <w:sz w:val="24"/>
          <w:szCs w:val="24"/>
        </w:rPr>
        <w:fldChar w:fldCharType="begin"/>
      </w:r>
      <w:r>
        <w:rPr>
          <w:rFonts w:ascii="宋体" w:hAnsi="宋体"/>
          <w:sz w:val="24"/>
          <w:szCs w:val="24"/>
        </w:rPr>
        <w:instrText xml:space="preserve"> PAGEREF _Toc35500806 \h </w:instrText>
      </w:r>
      <w:r>
        <w:rPr>
          <w:rFonts w:ascii="宋体" w:hAnsi="宋体"/>
          <w:sz w:val="24"/>
          <w:szCs w:val="24"/>
        </w:rPr>
        <w:fldChar w:fldCharType="separate"/>
      </w:r>
      <w:r>
        <w:rPr>
          <w:rFonts w:ascii="宋体" w:hAnsi="宋体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fldChar w:fldCharType="end"/>
      </w:r>
      <w:r>
        <w:rPr>
          <w:rFonts w:ascii="宋体" w:hAnsi="宋体"/>
          <w:sz w:val="24"/>
          <w:szCs w:val="24"/>
        </w:rPr>
        <w:fldChar w:fldCharType="end"/>
      </w:r>
    </w:p>
    <w:p>
      <w:pPr>
        <w:pStyle w:val="17"/>
        <w:tabs>
          <w:tab w:val="right" w:leader="dot" w:pos="8302"/>
        </w:tabs>
        <w:spacing w:line="440" w:lineRule="exact"/>
        <w:ind w:leftChars="200"/>
        <w:rPr>
          <w:rFonts w:ascii="宋体" w:hAnsi="宋体" w:cstheme="minorBidi"/>
          <w:i w:val="0"/>
          <w:iCs w:val="0"/>
          <w:kern w:val="2"/>
          <w:sz w:val="24"/>
          <w:szCs w:val="24"/>
        </w:rPr>
      </w:pPr>
      <w:r>
        <w:fldChar w:fldCharType="begin"/>
      </w:r>
      <w:r>
        <w:instrText xml:space="preserve"> HYPERLINK \l "_Toc35500807" </w:instrText>
      </w:r>
      <w:r>
        <w:fldChar w:fldCharType="separate"/>
      </w:r>
      <w:r>
        <w:rPr>
          <w:rStyle w:val="40"/>
          <w:rFonts w:ascii="宋体" w:hAnsi="宋体"/>
          <w:i w:val="0"/>
          <w:color w:val="auto"/>
          <w:sz w:val="24"/>
          <w:szCs w:val="24"/>
        </w:rPr>
        <w:t>1.会计报表编制基础。</w:t>
      </w:r>
      <w:r>
        <w:rPr>
          <w:rFonts w:ascii="宋体" w:hAnsi="宋体"/>
          <w:i w:val="0"/>
          <w:sz w:val="24"/>
          <w:szCs w:val="24"/>
        </w:rPr>
        <w:tab/>
      </w:r>
      <w:r>
        <w:rPr>
          <w:rFonts w:ascii="宋体" w:hAnsi="宋体"/>
          <w:i w:val="0"/>
          <w:sz w:val="24"/>
          <w:szCs w:val="24"/>
        </w:rPr>
        <w:fldChar w:fldCharType="begin"/>
      </w:r>
      <w:r>
        <w:rPr>
          <w:rFonts w:ascii="宋体" w:hAnsi="宋体"/>
          <w:i w:val="0"/>
          <w:sz w:val="24"/>
          <w:szCs w:val="24"/>
        </w:rPr>
        <w:instrText xml:space="preserve"> PAGEREF _Toc35500807 \h </w:instrText>
      </w:r>
      <w:r>
        <w:rPr>
          <w:rFonts w:ascii="宋体" w:hAnsi="宋体"/>
          <w:i w:val="0"/>
          <w:sz w:val="24"/>
          <w:szCs w:val="24"/>
        </w:rPr>
        <w:fldChar w:fldCharType="separate"/>
      </w:r>
      <w:r>
        <w:rPr>
          <w:rFonts w:ascii="宋体" w:hAnsi="宋体"/>
          <w:i w:val="0"/>
          <w:sz w:val="24"/>
          <w:szCs w:val="24"/>
        </w:rPr>
        <w:t>2</w:t>
      </w:r>
      <w:r>
        <w:rPr>
          <w:rFonts w:ascii="宋体" w:hAnsi="宋体"/>
          <w:i w:val="0"/>
          <w:sz w:val="24"/>
          <w:szCs w:val="24"/>
        </w:rPr>
        <w:fldChar w:fldCharType="end"/>
      </w:r>
      <w:r>
        <w:rPr>
          <w:rFonts w:ascii="宋体" w:hAnsi="宋体"/>
          <w:i w:val="0"/>
          <w:sz w:val="24"/>
          <w:szCs w:val="24"/>
        </w:rPr>
        <w:fldChar w:fldCharType="end"/>
      </w:r>
    </w:p>
    <w:p>
      <w:pPr>
        <w:pStyle w:val="17"/>
        <w:tabs>
          <w:tab w:val="right" w:leader="dot" w:pos="8302"/>
        </w:tabs>
        <w:spacing w:line="440" w:lineRule="exact"/>
        <w:ind w:leftChars="200"/>
        <w:rPr>
          <w:rFonts w:ascii="宋体" w:hAnsi="宋体" w:cstheme="minorBidi"/>
          <w:i w:val="0"/>
          <w:iCs w:val="0"/>
          <w:kern w:val="2"/>
          <w:sz w:val="24"/>
          <w:szCs w:val="24"/>
        </w:rPr>
      </w:pPr>
      <w:r>
        <w:fldChar w:fldCharType="begin"/>
      </w:r>
      <w:r>
        <w:instrText xml:space="preserve"> HYPERLINK \l "_Toc35500808" </w:instrText>
      </w:r>
      <w:r>
        <w:fldChar w:fldCharType="separate"/>
      </w:r>
      <w:r>
        <w:rPr>
          <w:rStyle w:val="40"/>
          <w:rFonts w:ascii="宋体" w:hAnsi="宋体"/>
          <w:i w:val="0"/>
          <w:color w:val="auto"/>
          <w:sz w:val="24"/>
          <w:szCs w:val="24"/>
        </w:rPr>
        <w:t>2.遵循相关制度规定的声明。</w:t>
      </w:r>
      <w:r>
        <w:rPr>
          <w:rFonts w:ascii="宋体" w:hAnsi="宋体"/>
          <w:i w:val="0"/>
          <w:sz w:val="24"/>
          <w:szCs w:val="24"/>
        </w:rPr>
        <w:tab/>
      </w:r>
      <w:r>
        <w:rPr>
          <w:rFonts w:ascii="宋体" w:hAnsi="宋体"/>
          <w:i w:val="0"/>
          <w:sz w:val="24"/>
          <w:szCs w:val="24"/>
        </w:rPr>
        <w:fldChar w:fldCharType="begin"/>
      </w:r>
      <w:r>
        <w:rPr>
          <w:rFonts w:ascii="宋体" w:hAnsi="宋体"/>
          <w:i w:val="0"/>
          <w:sz w:val="24"/>
          <w:szCs w:val="24"/>
        </w:rPr>
        <w:instrText xml:space="preserve"> PAGEREF _Toc35500808 \h </w:instrText>
      </w:r>
      <w:r>
        <w:rPr>
          <w:rFonts w:ascii="宋体" w:hAnsi="宋体"/>
          <w:i w:val="0"/>
          <w:sz w:val="24"/>
          <w:szCs w:val="24"/>
        </w:rPr>
        <w:fldChar w:fldCharType="separate"/>
      </w:r>
      <w:r>
        <w:rPr>
          <w:rFonts w:ascii="宋体" w:hAnsi="宋体"/>
          <w:i w:val="0"/>
          <w:sz w:val="24"/>
          <w:szCs w:val="24"/>
        </w:rPr>
        <w:t>2</w:t>
      </w:r>
      <w:r>
        <w:rPr>
          <w:rFonts w:ascii="宋体" w:hAnsi="宋体"/>
          <w:i w:val="0"/>
          <w:sz w:val="24"/>
          <w:szCs w:val="24"/>
        </w:rPr>
        <w:fldChar w:fldCharType="end"/>
      </w:r>
      <w:r>
        <w:rPr>
          <w:rFonts w:ascii="宋体" w:hAnsi="宋体"/>
          <w:i w:val="0"/>
          <w:sz w:val="24"/>
          <w:szCs w:val="24"/>
        </w:rPr>
        <w:fldChar w:fldCharType="end"/>
      </w:r>
    </w:p>
    <w:p>
      <w:pPr>
        <w:pStyle w:val="17"/>
        <w:tabs>
          <w:tab w:val="right" w:leader="dot" w:pos="8302"/>
        </w:tabs>
        <w:spacing w:line="440" w:lineRule="exact"/>
        <w:ind w:leftChars="200"/>
        <w:rPr>
          <w:rFonts w:ascii="宋体" w:hAnsi="宋体" w:cstheme="minorBidi"/>
          <w:i w:val="0"/>
          <w:iCs w:val="0"/>
          <w:kern w:val="2"/>
          <w:sz w:val="24"/>
          <w:szCs w:val="24"/>
        </w:rPr>
      </w:pPr>
      <w:r>
        <w:fldChar w:fldCharType="begin"/>
      </w:r>
      <w:r>
        <w:instrText xml:space="preserve"> HYPERLINK \l "_Toc35500809" </w:instrText>
      </w:r>
      <w:r>
        <w:fldChar w:fldCharType="separate"/>
      </w:r>
      <w:r>
        <w:rPr>
          <w:rStyle w:val="40"/>
          <w:rFonts w:ascii="宋体" w:hAnsi="宋体"/>
          <w:i w:val="0"/>
          <w:color w:val="auto"/>
          <w:sz w:val="24"/>
          <w:szCs w:val="24"/>
        </w:rPr>
        <w:t>3.合并范围。</w:t>
      </w:r>
      <w:r>
        <w:rPr>
          <w:rFonts w:ascii="宋体" w:hAnsi="宋体"/>
          <w:i w:val="0"/>
          <w:sz w:val="24"/>
          <w:szCs w:val="24"/>
        </w:rPr>
        <w:tab/>
      </w:r>
      <w:r>
        <w:rPr>
          <w:rFonts w:ascii="宋体" w:hAnsi="宋体"/>
          <w:i w:val="0"/>
          <w:sz w:val="24"/>
          <w:szCs w:val="24"/>
        </w:rPr>
        <w:fldChar w:fldCharType="begin"/>
      </w:r>
      <w:r>
        <w:rPr>
          <w:rFonts w:ascii="宋体" w:hAnsi="宋体"/>
          <w:i w:val="0"/>
          <w:sz w:val="24"/>
          <w:szCs w:val="24"/>
        </w:rPr>
        <w:instrText xml:space="preserve"> PAGEREF _Toc35500809 \h </w:instrText>
      </w:r>
      <w:r>
        <w:rPr>
          <w:rFonts w:ascii="宋体" w:hAnsi="宋体"/>
          <w:i w:val="0"/>
          <w:sz w:val="24"/>
          <w:szCs w:val="24"/>
        </w:rPr>
        <w:fldChar w:fldCharType="separate"/>
      </w:r>
      <w:r>
        <w:rPr>
          <w:rFonts w:ascii="宋体" w:hAnsi="宋体"/>
          <w:i w:val="0"/>
          <w:sz w:val="24"/>
          <w:szCs w:val="24"/>
        </w:rPr>
        <w:t>2</w:t>
      </w:r>
      <w:r>
        <w:rPr>
          <w:rFonts w:ascii="宋体" w:hAnsi="宋体"/>
          <w:i w:val="0"/>
          <w:sz w:val="24"/>
          <w:szCs w:val="24"/>
        </w:rPr>
        <w:fldChar w:fldCharType="end"/>
      </w:r>
      <w:r>
        <w:rPr>
          <w:rFonts w:ascii="宋体" w:hAnsi="宋体"/>
          <w:i w:val="0"/>
          <w:sz w:val="24"/>
          <w:szCs w:val="24"/>
        </w:rPr>
        <w:fldChar w:fldCharType="end"/>
      </w:r>
    </w:p>
    <w:p>
      <w:pPr>
        <w:pStyle w:val="17"/>
        <w:tabs>
          <w:tab w:val="right" w:leader="dot" w:pos="8302"/>
        </w:tabs>
        <w:spacing w:line="440" w:lineRule="exact"/>
        <w:ind w:leftChars="200"/>
        <w:rPr>
          <w:rFonts w:ascii="宋体" w:hAnsi="宋体" w:cstheme="minorBidi"/>
          <w:i w:val="0"/>
          <w:iCs w:val="0"/>
          <w:kern w:val="2"/>
          <w:sz w:val="24"/>
          <w:szCs w:val="24"/>
        </w:rPr>
      </w:pPr>
      <w:r>
        <w:fldChar w:fldCharType="begin"/>
      </w:r>
      <w:r>
        <w:instrText xml:space="preserve"> HYPERLINK \l "_Toc35500810" </w:instrText>
      </w:r>
      <w:r>
        <w:fldChar w:fldCharType="separate"/>
      </w:r>
      <w:r>
        <w:rPr>
          <w:rStyle w:val="40"/>
          <w:rFonts w:ascii="宋体" w:hAnsi="宋体"/>
          <w:i w:val="0"/>
          <w:color w:val="auto"/>
          <w:sz w:val="24"/>
          <w:szCs w:val="24"/>
        </w:rPr>
        <w:t>4.重要会计政策与会计估计变更情况。</w:t>
      </w:r>
      <w:r>
        <w:rPr>
          <w:rFonts w:ascii="宋体" w:hAnsi="宋体"/>
          <w:i w:val="0"/>
          <w:sz w:val="24"/>
          <w:szCs w:val="24"/>
        </w:rPr>
        <w:tab/>
      </w:r>
      <w:r>
        <w:rPr>
          <w:rFonts w:ascii="宋体" w:hAnsi="宋体"/>
          <w:i w:val="0"/>
          <w:sz w:val="24"/>
          <w:szCs w:val="24"/>
        </w:rPr>
        <w:fldChar w:fldCharType="begin"/>
      </w:r>
      <w:r>
        <w:rPr>
          <w:rFonts w:ascii="宋体" w:hAnsi="宋体"/>
          <w:i w:val="0"/>
          <w:sz w:val="24"/>
          <w:szCs w:val="24"/>
        </w:rPr>
        <w:instrText xml:space="preserve"> PAGEREF _Toc35500810 \h </w:instrText>
      </w:r>
      <w:r>
        <w:rPr>
          <w:rFonts w:ascii="宋体" w:hAnsi="宋体"/>
          <w:i w:val="0"/>
          <w:sz w:val="24"/>
          <w:szCs w:val="24"/>
        </w:rPr>
        <w:fldChar w:fldCharType="separate"/>
      </w:r>
      <w:r>
        <w:rPr>
          <w:rFonts w:ascii="宋体" w:hAnsi="宋体"/>
          <w:i w:val="0"/>
          <w:sz w:val="24"/>
          <w:szCs w:val="24"/>
        </w:rPr>
        <w:t>2</w:t>
      </w:r>
      <w:r>
        <w:rPr>
          <w:rFonts w:ascii="宋体" w:hAnsi="宋体"/>
          <w:i w:val="0"/>
          <w:sz w:val="24"/>
          <w:szCs w:val="24"/>
        </w:rPr>
        <w:fldChar w:fldCharType="end"/>
      </w:r>
      <w:r>
        <w:rPr>
          <w:rFonts w:ascii="宋体" w:hAnsi="宋体"/>
          <w:i w:val="0"/>
          <w:sz w:val="24"/>
          <w:szCs w:val="24"/>
        </w:rPr>
        <w:fldChar w:fldCharType="end"/>
      </w:r>
    </w:p>
    <w:p>
      <w:pPr>
        <w:pStyle w:val="17"/>
        <w:tabs>
          <w:tab w:val="right" w:leader="dot" w:pos="8302"/>
        </w:tabs>
        <w:spacing w:line="440" w:lineRule="exact"/>
        <w:ind w:leftChars="200"/>
        <w:rPr>
          <w:rFonts w:ascii="宋体" w:hAnsi="宋体" w:cstheme="minorBidi"/>
          <w:i w:val="0"/>
          <w:iCs w:val="0"/>
          <w:kern w:val="2"/>
          <w:sz w:val="24"/>
          <w:szCs w:val="24"/>
        </w:rPr>
      </w:pPr>
      <w:r>
        <w:fldChar w:fldCharType="begin"/>
      </w:r>
      <w:r>
        <w:instrText xml:space="preserve"> HYPERLINK \l "_Toc35500811" </w:instrText>
      </w:r>
      <w:r>
        <w:fldChar w:fldCharType="separate"/>
      </w:r>
      <w:r>
        <w:rPr>
          <w:rStyle w:val="40"/>
          <w:rFonts w:ascii="宋体" w:hAnsi="宋体"/>
          <w:i w:val="0"/>
          <w:color w:val="auto"/>
          <w:sz w:val="24"/>
          <w:szCs w:val="24"/>
        </w:rPr>
        <w:t>5.会计报表重要项目的明细信息及说明</w:t>
      </w:r>
      <w:r>
        <w:rPr>
          <w:rFonts w:ascii="宋体" w:hAnsi="宋体"/>
          <w:i w:val="0"/>
          <w:sz w:val="24"/>
          <w:szCs w:val="24"/>
        </w:rPr>
        <w:tab/>
      </w:r>
      <w:r>
        <w:rPr>
          <w:rFonts w:ascii="宋体" w:hAnsi="宋体"/>
          <w:i w:val="0"/>
          <w:sz w:val="24"/>
          <w:szCs w:val="24"/>
        </w:rPr>
        <w:fldChar w:fldCharType="begin"/>
      </w:r>
      <w:r>
        <w:rPr>
          <w:rFonts w:ascii="宋体" w:hAnsi="宋体"/>
          <w:i w:val="0"/>
          <w:sz w:val="24"/>
          <w:szCs w:val="24"/>
        </w:rPr>
        <w:instrText xml:space="preserve"> PAGEREF _Toc35500811 \h </w:instrText>
      </w:r>
      <w:r>
        <w:rPr>
          <w:rFonts w:ascii="宋体" w:hAnsi="宋体"/>
          <w:i w:val="0"/>
          <w:sz w:val="24"/>
          <w:szCs w:val="24"/>
        </w:rPr>
        <w:fldChar w:fldCharType="separate"/>
      </w:r>
      <w:r>
        <w:rPr>
          <w:rFonts w:ascii="宋体" w:hAnsi="宋体"/>
          <w:i w:val="0"/>
          <w:sz w:val="24"/>
          <w:szCs w:val="24"/>
        </w:rPr>
        <w:t>3</w:t>
      </w:r>
      <w:r>
        <w:rPr>
          <w:rFonts w:ascii="宋体" w:hAnsi="宋体"/>
          <w:i w:val="0"/>
          <w:sz w:val="24"/>
          <w:szCs w:val="24"/>
        </w:rPr>
        <w:fldChar w:fldCharType="end"/>
      </w:r>
      <w:r>
        <w:rPr>
          <w:rFonts w:ascii="宋体" w:hAnsi="宋体"/>
          <w:i w:val="0"/>
          <w:sz w:val="24"/>
          <w:szCs w:val="24"/>
        </w:rPr>
        <w:fldChar w:fldCharType="end"/>
      </w:r>
    </w:p>
    <w:p>
      <w:pPr>
        <w:pStyle w:val="17"/>
        <w:tabs>
          <w:tab w:val="right" w:leader="dot" w:pos="8302"/>
        </w:tabs>
        <w:spacing w:line="440" w:lineRule="exact"/>
        <w:ind w:leftChars="200"/>
        <w:rPr>
          <w:rFonts w:ascii="宋体" w:hAnsi="宋体" w:cstheme="minorBidi"/>
          <w:i w:val="0"/>
          <w:iCs w:val="0"/>
          <w:kern w:val="2"/>
          <w:sz w:val="24"/>
          <w:szCs w:val="24"/>
        </w:rPr>
      </w:pPr>
      <w:r>
        <w:fldChar w:fldCharType="begin"/>
      </w:r>
      <w:r>
        <w:instrText xml:space="preserve"> HYPERLINK \l "_Toc35500812" </w:instrText>
      </w:r>
      <w:r>
        <w:fldChar w:fldCharType="separate"/>
      </w:r>
      <w:r>
        <w:rPr>
          <w:rStyle w:val="40"/>
          <w:rFonts w:ascii="宋体" w:hAnsi="宋体"/>
          <w:i w:val="0"/>
          <w:color w:val="auto"/>
          <w:sz w:val="24"/>
          <w:szCs w:val="24"/>
        </w:rPr>
        <w:t>6.需要说明的其他事项。</w:t>
      </w:r>
      <w:r>
        <w:rPr>
          <w:rFonts w:ascii="宋体" w:hAnsi="宋体"/>
          <w:i w:val="0"/>
          <w:sz w:val="24"/>
          <w:szCs w:val="24"/>
        </w:rPr>
        <w:tab/>
      </w:r>
      <w:r>
        <w:rPr>
          <w:rFonts w:ascii="宋体" w:hAnsi="宋体"/>
          <w:i w:val="0"/>
          <w:sz w:val="24"/>
          <w:szCs w:val="24"/>
        </w:rPr>
        <w:fldChar w:fldCharType="begin"/>
      </w:r>
      <w:r>
        <w:rPr>
          <w:rFonts w:ascii="宋体" w:hAnsi="宋体"/>
          <w:i w:val="0"/>
          <w:sz w:val="24"/>
          <w:szCs w:val="24"/>
        </w:rPr>
        <w:instrText xml:space="preserve"> PAGEREF _Toc35500812 \h </w:instrText>
      </w:r>
      <w:r>
        <w:rPr>
          <w:rFonts w:ascii="宋体" w:hAnsi="宋体"/>
          <w:i w:val="0"/>
          <w:sz w:val="24"/>
          <w:szCs w:val="24"/>
        </w:rPr>
        <w:fldChar w:fldCharType="separate"/>
      </w:r>
      <w:r>
        <w:rPr>
          <w:rFonts w:ascii="宋体" w:hAnsi="宋体"/>
          <w:i w:val="0"/>
          <w:sz w:val="24"/>
          <w:szCs w:val="24"/>
        </w:rPr>
        <w:t>11</w:t>
      </w:r>
      <w:r>
        <w:rPr>
          <w:rFonts w:ascii="宋体" w:hAnsi="宋体"/>
          <w:i w:val="0"/>
          <w:sz w:val="24"/>
          <w:szCs w:val="24"/>
        </w:rPr>
        <w:fldChar w:fldCharType="end"/>
      </w:r>
      <w:r>
        <w:rPr>
          <w:rFonts w:ascii="宋体" w:hAnsi="宋体"/>
          <w:i w:val="0"/>
          <w:sz w:val="24"/>
          <w:szCs w:val="24"/>
        </w:rPr>
        <w:fldChar w:fldCharType="end"/>
      </w:r>
    </w:p>
    <w:p>
      <w:pPr>
        <w:pStyle w:val="23"/>
        <w:tabs>
          <w:tab w:val="right" w:leader="dot" w:pos="8302"/>
        </w:tabs>
        <w:spacing w:line="440" w:lineRule="exact"/>
        <w:rPr>
          <w:rStyle w:val="40"/>
          <w:rFonts w:ascii="黑体" w:hAnsi="黑体" w:eastAsia="黑体"/>
          <w:color w:val="auto"/>
          <w:sz w:val="28"/>
          <w:szCs w:val="28"/>
        </w:rPr>
      </w:pPr>
      <w:r>
        <w:fldChar w:fldCharType="begin"/>
      </w:r>
      <w:r>
        <w:instrText xml:space="preserve"> HYPERLINK \l "_Toc35500813" </w:instrText>
      </w:r>
      <w:r>
        <w:fldChar w:fldCharType="separate"/>
      </w:r>
      <w:r>
        <w:rPr>
          <w:rStyle w:val="40"/>
          <w:rFonts w:ascii="黑体" w:hAnsi="黑体" w:eastAsia="黑体"/>
          <w:color w:val="auto"/>
          <w:sz w:val="28"/>
          <w:szCs w:val="28"/>
        </w:rPr>
        <w:t>二、政府部门财务分析</w:t>
      </w:r>
      <w:r>
        <w:rPr>
          <w:rStyle w:val="40"/>
          <w:rFonts w:ascii="黑体" w:hAnsi="黑体" w:eastAsia="黑体"/>
          <w:color w:val="auto"/>
          <w:sz w:val="28"/>
          <w:szCs w:val="28"/>
        </w:rPr>
        <w:tab/>
      </w:r>
      <w:r>
        <w:rPr>
          <w:rStyle w:val="40"/>
          <w:rFonts w:ascii="黑体" w:hAnsi="黑体" w:eastAsia="黑体"/>
          <w:color w:val="auto"/>
          <w:sz w:val="28"/>
          <w:szCs w:val="28"/>
        </w:rPr>
        <w:fldChar w:fldCharType="begin"/>
      </w:r>
      <w:r>
        <w:rPr>
          <w:rStyle w:val="40"/>
          <w:rFonts w:ascii="黑体" w:hAnsi="黑体" w:eastAsia="黑体"/>
          <w:color w:val="auto"/>
          <w:sz w:val="28"/>
          <w:szCs w:val="28"/>
        </w:rPr>
        <w:instrText xml:space="preserve"> PAGEREF _Toc35500813 \h </w:instrText>
      </w:r>
      <w:r>
        <w:rPr>
          <w:rStyle w:val="40"/>
          <w:rFonts w:ascii="黑体" w:hAnsi="黑体" w:eastAsia="黑体"/>
          <w:color w:val="auto"/>
          <w:sz w:val="28"/>
          <w:szCs w:val="28"/>
        </w:rPr>
        <w:fldChar w:fldCharType="separate"/>
      </w:r>
      <w:r>
        <w:rPr>
          <w:rStyle w:val="40"/>
          <w:rFonts w:ascii="黑体" w:hAnsi="黑体" w:eastAsia="黑体"/>
          <w:color w:val="auto"/>
          <w:sz w:val="28"/>
          <w:szCs w:val="28"/>
        </w:rPr>
        <w:t>13</w:t>
      </w:r>
      <w:r>
        <w:rPr>
          <w:rStyle w:val="40"/>
          <w:rFonts w:ascii="黑体" w:hAnsi="黑体" w:eastAsia="黑体"/>
          <w:color w:val="auto"/>
          <w:sz w:val="28"/>
          <w:szCs w:val="28"/>
        </w:rPr>
        <w:fldChar w:fldCharType="end"/>
      </w:r>
      <w:r>
        <w:rPr>
          <w:rStyle w:val="40"/>
          <w:rFonts w:ascii="黑体" w:hAnsi="黑体" w:eastAsia="黑体"/>
          <w:color w:val="auto"/>
          <w:sz w:val="28"/>
          <w:szCs w:val="28"/>
        </w:rPr>
        <w:fldChar w:fldCharType="end"/>
      </w:r>
    </w:p>
    <w:p>
      <w:pPr>
        <w:pStyle w:val="17"/>
        <w:tabs>
          <w:tab w:val="right" w:leader="dot" w:pos="8302"/>
        </w:tabs>
        <w:spacing w:line="440" w:lineRule="exact"/>
        <w:ind w:left="240" w:leftChars="100"/>
        <w:rPr>
          <w:rFonts w:ascii="宋体" w:hAnsi="宋体" w:cstheme="minorBidi"/>
          <w:i w:val="0"/>
          <w:iCs w:val="0"/>
          <w:kern w:val="2"/>
          <w:sz w:val="24"/>
          <w:szCs w:val="24"/>
        </w:rPr>
      </w:pPr>
      <w:r>
        <w:fldChar w:fldCharType="begin"/>
      </w:r>
      <w:r>
        <w:instrText xml:space="preserve"> HYPERLINK \l "_Toc35500814" </w:instrText>
      </w:r>
      <w:r>
        <w:fldChar w:fldCharType="separate"/>
      </w:r>
      <w:r>
        <w:rPr>
          <w:rStyle w:val="40"/>
          <w:rFonts w:ascii="宋体" w:hAnsi="宋体"/>
          <w:i w:val="0"/>
          <w:color w:val="auto"/>
          <w:sz w:val="24"/>
          <w:szCs w:val="24"/>
        </w:rPr>
        <w:t>（一）</w:t>
      </w:r>
      <w:r>
        <w:rPr>
          <w:rStyle w:val="40"/>
          <w:rFonts w:ascii="宋体" w:hAnsi="宋体" w:cs="黑体"/>
          <w:i w:val="0"/>
          <w:color w:val="auto"/>
          <w:spacing w:val="-8"/>
          <w:sz w:val="24"/>
          <w:szCs w:val="24"/>
        </w:rPr>
        <w:t>政府部门工作目标完成情况。</w:t>
      </w:r>
      <w:r>
        <w:rPr>
          <w:rFonts w:ascii="宋体" w:hAnsi="宋体"/>
          <w:i w:val="0"/>
          <w:sz w:val="24"/>
          <w:szCs w:val="24"/>
        </w:rPr>
        <w:tab/>
      </w:r>
      <w:r>
        <w:rPr>
          <w:rFonts w:ascii="宋体" w:hAnsi="宋体"/>
          <w:i w:val="0"/>
          <w:sz w:val="24"/>
          <w:szCs w:val="24"/>
        </w:rPr>
        <w:fldChar w:fldCharType="begin"/>
      </w:r>
      <w:r>
        <w:rPr>
          <w:rFonts w:ascii="宋体" w:hAnsi="宋体"/>
          <w:i w:val="0"/>
          <w:sz w:val="24"/>
          <w:szCs w:val="24"/>
        </w:rPr>
        <w:instrText xml:space="preserve"> PAGEREF _Toc35500814 \h </w:instrText>
      </w:r>
      <w:r>
        <w:rPr>
          <w:rFonts w:ascii="宋体" w:hAnsi="宋体"/>
          <w:i w:val="0"/>
          <w:sz w:val="24"/>
          <w:szCs w:val="24"/>
        </w:rPr>
        <w:fldChar w:fldCharType="separate"/>
      </w:r>
      <w:r>
        <w:rPr>
          <w:rFonts w:ascii="宋体" w:hAnsi="宋体"/>
          <w:i w:val="0"/>
          <w:sz w:val="24"/>
          <w:szCs w:val="24"/>
        </w:rPr>
        <w:t>13</w:t>
      </w:r>
      <w:r>
        <w:rPr>
          <w:rFonts w:ascii="宋体" w:hAnsi="宋体"/>
          <w:i w:val="0"/>
          <w:sz w:val="24"/>
          <w:szCs w:val="24"/>
        </w:rPr>
        <w:fldChar w:fldCharType="end"/>
      </w:r>
      <w:r>
        <w:rPr>
          <w:rFonts w:ascii="宋体" w:hAnsi="宋体"/>
          <w:i w:val="0"/>
          <w:sz w:val="24"/>
          <w:szCs w:val="24"/>
        </w:rPr>
        <w:fldChar w:fldCharType="end"/>
      </w:r>
    </w:p>
    <w:p>
      <w:pPr>
        <w:pStyle w:val="17"/>
        <w:tabs>
          <w:tab w:val="right" w:leader="dot" w:pos="8302"/>
        </w:tabs>
        <w:spacing w:line="440" w:lineRule="exact"/>
        <w:ind w:left="240" w:leftChars="100"/>
        <w:rPr>
          <w:rFonts w:ascii="宋体" w:hAnsi="宋体" w:cstheme="minorBidi"/>
          <w:i w:val="0"/>
          <w:iCs w:val="0"/>
          <w:kern w:val="2"/>
          <w:sz w:val="24"/>
          <w:szCs w:val="24"/>
        </w:rPr>
      </w:pPr>
      <w:r>
        <w:fldChar w:fldCharType="begin"/>
      </w:r>
      <w:r>
        <w:instrText xml:space="preserve"> HYPERLINK \l "_Toc35500815" </w:instrText>
      </w:r>
      <w:r>
        <w:fldChar w:fldCharType="separate"/>
      </w:r>
      <w:r>
        <w:rPr>
          <w:rStyle w:val="40"/>
          <w:rFonts w:ascii="宋体" w:hAnsi="宋体"/>
          <w:i w:val="0"/>
          <w:color w:val="auto"/>
          <w:sz w:val="24"/>
          <w:szCs w:val="24"/>
        </w:rPr>
        <w:t>（二）政府部门财务状况分析。</w:t>
      </w:r>
      <w:r>
        <w:rPr>
          <w:rFonts w:ascii="宋体" w:hAnsi="宋体"/>
          <w:i w:val="0"/>
          <w:sz w:val="24"/>
          <w:szCs w:val="24"/>
        </w:rPr>
        <w:tab/>
      </w:r>
      <w:r>
        <w:rPr>
          <w:rFonts w:ascii="宋体" w:hAnsi="宋体"/>
          <w:i w:val="0"/>
          <w:sz w:val="24"/>
          <w:szCs w:val="24"/>
        </w:rPr>
        <w:fldChar w:fldCharType="begin"/>
      </w:r>
      <w:r>
        <w:rPr>
          <w:rFonts w:ascii="宋体" w:hAnsi="宋体"/>
          <w:i w:val="0"/>
          <w:sz w:val="24"/>
          <w:szCs w:val="24"/>
        </w:rPr>
        <w:instrText xml:space="preserve"> PAGEREF _Toc35500815 \h </w:instrText>
      </w:r>
      <w:r>
        <w:rPr>
          <w:rFonts w:ascii="宋体" w:hAnsi="宋体"/>
          <w:i w:val="0"/>
          <w:sz w:val="24"/>
          <w:szCs w:val="24"/>
        </w:rPr>
        <w:fldChar w:fldCharType="separate"/>
      </w:r>
      <w:r>
        <w:rPr>
          <w:rFonts w:ascii="宋体" w:hAnsi="宋体"/>
          <w:i w:val="0"/>
          <w:sz w:val="24"/>
          <w:szCs w:val="24"/>
        </w:rPr>
        <w:t>13</w:t>
      </w:r>
      <w:r>
        <w:rPr>
          <w:rFonts w:ascii="宋体" w:hAnsi="宋体"/>
          <w:i w:val="0"/>
          <w:sz w:val="24"/>
          <w:szCs w:val="24"/>
        </w:rPr>
        <w:fldChar w:fldCharType="end"/>
      </w:r>
      <w:r>
        <w:rPr>
          <w:rFonts w:ascii="宋体" w:hAnsi="宋体"/>
          <w:i w:val="0"/>
          <w:sz w:val="24"/>
          <w:szCs w:val="24"/>
        </w:rPr>
        <w:fldChar w:fldCharType="end"/>
      </w:r>
    </w:p>
    <w:p>
      <w:pPr>
        <w:pStyle w:val="17"/>
        <w:tabs>
          <w:tab w:val="right" w:leader="dot" w:pos="8302"/>
        </w:tabs>
        <w:spacing w:line="440" w:lineRule="exact"/>
        <w:ind w:left="240" w:leftChars="100"/>
        <w:rPr>
          <w:rFonts w:ascii="宋体" w:hAnsi="宋体" w:cstheme="minorBidi"/>
          <w:i w:val="0"/>
          <w:iCs w:val="0"/>
          <w:kern w:val="2"/>
          <w:sz w:val="24"/>
          <w:szCs w:val="24"/>
        </w:rPr>
      </w:pPr>
      <w:r>
        <w:fldChar w:fldCharType="begin"/>
      </w:r>
      <w:r>
        <w:instrText xml:space="preserve"> HYPERLINK \l "_Toc35500816" </w:instrText>
      </w:r>
      <w:r>
        <w:fldChar w:fldCharType="separate"/>
      </w:r>
      <w:r>
        <w:rPr>
          <w:rStyle w:val="40"/>
          <w:rFonts w:ascii="宋体" w:hAnsi="宋体"/>
          <w:i w:val="0"/>
          <w:color w:val="auto"/>
          <w:sz w:val="24"/>
          <w:szCs w:val="24"/>
        </w:rPr>
        <w:t>（三）政府部门运行情况分析。</w:t>
      </w:r>
      <w:r>
        <w:rPr>
          <w:rFonts w:ascii="宋体" w:hAnsi="宋体"/>
          <w:i w:val="0"/>
          <w:sz w:val="24"/>
          <w:szCs w:val="24"/>
        </w:rPr>
        <w:tab/>
      </w:r>
      <w:r>
        <w:rPr>
          <w:rFonts w:ascii="宋体" w:hAnsi="宋体"/>
          <w:i w:val="0"/>
          <w:sz w:val="24"/>
          <w:szCs w:val="24"/>
        </w:rPr>
        <w:fldChar w:fldCharType="begin"/>
      </w:r>
      <w:r>
        <w:rPr>
          <w:rFonts w:ascii="宋体" w:hAnsi="宋体"/>
          <w:i w:val="0"/>
          <w:sz w:val="24"/>
          <w:szCs w:val="24"/>
        </w:rPr>
        <w:instrText xml:space="preserve"> PAGEREF _Toc35500816 \h </w:instrText>
      </w:r>
      <w:r>
        <w:rPr>
          <w:rFonts w:ascii="宋体" w:hAnsi="宋体"/>
          <w:i w:val="0"/>
          <w:sz w:val="24"/>
          <w:szCs w:val="24"/>
        </w:rPr>
        <w:fldChar w:fldCharType="separate"/>
      </w:r>
      <w:r>
        <w:rPr>
          <w:rFonts w:ascii="宋体" w:hAnsi="宋体"/>
          <w:i w:val="0"/>
          <w:sz w:val="24"/>
          <w:szCs w:val="24"/>
        </w:rPr>
        <w:t>14</w:t>
      </w:r>
      <w:r>
        <w:rPr>
          <w:rFonts w:ascii="宋体" w:hAnsi="宋体"/>
          <w:i w:val="0"/>
          <w:sz w:val="24"/>
          <w:szCs w:val="24"/>
        </w:rPr>
        <w:fldChar w:fldCharType="end"/>
      </w:r>
      <w:r>
        <w:rPr>
          <w:rFonts w:ascii="宋体" w:hAnsi="宋体"/>
          <w:i w:val="0"/>
          <w:sz w:val="24"/>
          <w:szCs w:val="24"/>
        </w:rPr>
        <w:fldChar w:fldCharType="end"/>
      </w:r>
    </w:p>
    <w:p>
      <w:pPr>
        <w:pStyle w:val="17"/>
        <w:tabs>
          <w:tab w:val="right" w:leader="dot" w:pos="8302"/>
        </w:tabs>
        <w:spacing w:line="440" w:lineRule="exact"/>
        <w:ind w:left="240" w:leftChars="100"/>
        <w:rPr>
          <w:rFonts w:ascii="宋体" w:hAnsi="宋体" w:cstheme="minorBidi"/>
          <w:i w:val="0"/>
          <w:iCs w:val="0"/>
          <w:kern w:val="2"/>
          <w:sz w:val="24"/>
          <w:szCs w:val="24"/>
        </w:rPr>
      </w:pPr>
      <w:r>
        <w:fldChar w:fldCharType="begin"/>
      </w:r>
      <w:r>
        <w:instrText xml:space="preserve"> HYPERLINK \l "_Toc35500817" </w:instrText>
      </w:r>
      <w:r>
        <w:fldChar w:fldCharType="separate"/>
      </w:r>
      <w:r>
        <w:rPr>
          <w:rStyle w:val="40"/>
          <w:rFonts w:ascii="宋体" w:hAnsi="宋体"/>
          <w:i w:val="0"/>
          <w:color w:val="auto"/>
          <w:sz w:val="24"/>
          <w:szCs w:val="24"/>
        </w:rPr>
        <w:t>（四）政府部门财务管理情况。</w:t>
      </w:r>
      <w:r>
        <w:rPr>
          <w:rFonts w:ascii="宋体" w:hAnsi="宋体"/>
          <w:i w:val="0"/>
          <w:sz w:val="24"/>
          <w:szCs w:val="24"/>
        </w:rPr>
        <w:tab/>
      </w:r>
      <w:r>
        <w:rPr>
          <w:rFonts w:ascii="宋体" w:hAnsi="宋体"/>
          <w:i w:val="0"/>
          <w:sz w:val="24"/>
          <w:szCs w:val="24"/>
        </w:rPr>
        <w:fldChar w:fldCharType="begin"/>
      </w:r>
      <w:r>
        <w:rPr>
          <w:rFonts w:ascii="宋体" w:hAnsi="宋体"/>
          <w:i w:val="0"/>
          <w:sz w:val="24"/>
          <w:szCs w:val="24"/>
        </w:rPr>
        <w:instrText xml:space="preserve"> PAGEREF _Toc35500817 \h </w:instrText>
      </w:r>
      <w:r>
        <w:rPr>
          <w:rFonts w:ascii="宋体" w:hAnsi="宋体"/>
          <w:i w:val="0"/>
          <w:sz w:val="24"/>
          <w:szCs w:val="24"/>
        </w:rPr>
        <w:fldChar w:fldCharType="separate"/>
      </w:r>
      <w:r>
        <w:rPr>
          <w:rFonts w:ascii="宋体" w:hAnsi="宋体"/>
          <w:i w:val="0"/>
          <w:sz w:val="24"/>
          <w:szCs w:val="24"/>
        </w:rPr>
        <w:t>15</w:t>
      </w:r>
      <w:r>
        <w:rPr>
          <w:rFonts w:ascii="宋体" w:hAnsi="宋体"/>
          <w:i w:val="0"/>
          <w:sz w:val="24"/>
          <w:szCs w:val="24"/>
        </w:rPr>
        <w:fldChar w:fldCharType="end"/>
      </w:r>
      <w:r>
        <w:rPr>
          <w:rFonts w:ascii="宋体" w:hAnsi="宋体"/>
          <w:i w:val="0"/>
          <w:sz w:val="24"/>
          <w:szCs w:val="24"/>
        </w:rPr>
        <w:fldChar w:fldCharType="end"/>
      </w:r>
    </w:p>
    <w:p>
      <w:pPr>
        <w:spacing w:line="440" w:lineRule="exact"/>
        <w:jc w:val="both"/>
        <w:rPr>
          <w:rFonts w:eastAsia="仿宋_GB2312"/>
          <w:smallCaps/>
        </w:rPr>
      </w:pPr>
      <w:r>
        <w:rPr>
          <w:rFonts w:asciiTheme="minorEastAsia" w:hAnsiTheme="minorEastAsia" w:eastAsiaTheme="minorEastAsia"/>
          <w:smallCaps/>
          <w:sz w:val="28"/>
          <w:szCs w:val="28"/>
        </w:rPr>
        <w:fldChar w:fldCharType="end"/>
      </w:r>
    </w:p>
    <w:p>
      <w:pPr>
        <w:spacing w:line="360" w:lineRule="auto"/>
        <w:jc w:val="both"/>
        <w:rPr>
          <w:rFonts w:eastAsia="仿宋_GB2312"/>
          <w:smallCaps/>
        </w:rPr>
      </w:pPr>
    </w:p>
    <w:p>
      <w:pPr>
        <w:spacing w:line="360" w:lineRule="auto"/>
        <w:jc w:val="both"/>
        <w:rPr>
          <w:rFonts w:eastAsia="仿宋_GB2312"/>
          <w:smallCaps/>
        </w:rPr>
        <w:sectPr>
          <w:footerReference r:id="rId8" w:type="first"/>
          <w:footnotePr>
            <w:numFmt w:val="decimalEnclosedCircleChinese"/>
          </w:footnotePr>
          <w:pgSz w:w="11906" w:h="16838"/>
          <w:pgMar w:top="1440" w:right="1797" w:bottom="1440" w:left="1797" w:header="851" w:footer="992" w:gutter="0"/>
          <w:cols w:space="425" w:num="1"/>
          <w:docGrid w:type="lines" w:linePitch="326" w:charSpace="0"/>
        </w:sectPr>
      </w:pPr>
    </w:p>
    <w:p>
      <w:pPr>
        <w:pStyle w:val="2"/>
        <w:spacing w:before="240" w:after="240" w:line="360" w:lineRule="auto"/>
        <w:rPr>
          <w:rStyle w:val="43"/>
          <w:rFonts w:ascii="黑体" w:hAnsi="黑体" w:eastAsia="黑体"/>
          <w:b w:val="0"/>
          <w:sz w:val="30"/>
          <w:szCs w:val="30"/>
        </w:rPr>
      </w:pPr>
      <w:bookmarkStart w:id="12" w:name="_Toc436083527"/>
      <w:bookmarkStart w:id="13" w:name="_Toc435362289"/>
      <w:bookmarkStart w:id="14" w:name="_Toc435363360"/>
      <w:bookmarkStart w:id="15" w:name="_Toc435362487"/>
      <w:bookmarkStart w:id="16" w:name="_Toc35500801"/>
      <w:bookmarkStart w:id="17" w:name="_Toc435362062"/>
      <w:bookmarkStart w:id="18" w:name="_Toc503548884"/>
      <w:bookmarkStart w:id="19" w:name="_Toc35452575"/>
      <w:bookmarkStart w:id="20" w:name="_Toc435360895"/>
      <w:bookmarkStart w:id="21" w:name="_Toc435361944"/>
      <w:r>
        <w:rPr>
          <w:rFonts w:hint="eastAsia" w:ascii="黑体" w:hAnsi="黑体" w:eastAsia="黑体"/>
          <w:sz w:val="30"/>
          <w:szCs w:val="30"/>
        </w:rPr>
        <w:t>一、政府部门财务报表</w:t>
      </w:r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</w:p>
    <w:p>
      <w:pPr>
        <w:pStyle w:val="3"/>
        <w:spacing w:before="0" w:after="0" w:line="360" w:lineRule="auto"/>
        <w:ind w:firstLine="602" w:firstLineChars="200"/>
        <w:jc w:val="left"/>
        <w:rPr>
          <w:rFonts w:ascii="楷体" w:hAnsi="楷体" w:eastAsia="楷体"/>
        </w:rPr>
      </w:pPr>
      <w:bookmarkStart w:id="22" w:name="_Toc435362063"/>
      <w:bookmarkStart w:id="23" w:name="_Toc35500802"/>
      <w:bookmarkStart w:id="24" w:name="_Toc435362290"/>
      <w:bookmarkStart w:id="25" w:name="_Toc435362488"/>
      <w:bookmarkStart w:id="26" w:name="_Toc35452576"/>
      <w:bookmarkStart w:id="27" w:name="_Toc436083528"/>
      <w:bookmarkStart w:id="28" w:name="_Toc503548885"/>
      <w:bookmarkStart w:id="29" w:name="_Toc435361945"/>
      <w:r>
        <w:rPr>
          <w:rFonts w:hint="eastAsia" w:ascii="楷体" w:hAnsi="楷体" w:eastAsia="楷体"/>
        </w:rPr>
        <w:t>（一）政府部门会计报表</w:t>
      </w:r>
      <w:bookmarkEnd w:id="22"/>
      <w:bookmarkEnd w:id="23"/>
      <w:bookmarkEnd w:id="24"/>
      <w:bookmarkEnd w:id="25"/>
      <w:bookmarkEnd w:id="26"/>
      <w:bookmarkEnd w:id="27"/>
      <w:bookmarkEnd w:id="28"/>
      <w:bookmarkEnd w:id="29"/>
    </w:p>
    <w:p/>
    <w:p>
      <w:bookmarkStart w:id="30" w:name="_Toc435361946"/>
      <w:bookmarkStart w:id="31" w:name="_Toc435362064"/>
      <w:bookmarkStart w:id="32" w:name="_Toc435362291"/>
      <w:bookmarkStart w:id="33" w:name="_Toc435362489"/>
      <w:r>
        <w:rPr>
          <w:rFonts w:hint="eastAsia"/>
        </w:rPr>
        <w:t>表</w:t>
      </w:r>
      <w:r>
        <w:t>1</w:t>
      </w:r>
    </w:p>
    <w:p>
      <w:pPr>
        <w:spacing w:before="2" w:line="360" w:lineRule="auto"/>
        <w:ind w:firstLine="562" w:firstLineChars="200"/>
        <w:jc w:val="center"/>
        <w:outlineLvl w:val="2"/>
        <w:rPr>
          <w:rFonts w:cs="Times New Roman" w:asciiTheme="majorEastAsia" w:hAnsiTheme="majorEastAsia" w:eastAsiaTheme="majorEastAsia"/>
          <w:b/>
          <w:bCs/>
          <w:kern w:val="2"/>
          <w:sz w:val="28"/>
          <w:szCs w:val="28"/>
        </w:rPr>
      </w:pPr>
      <w:bookmarkStart w:id="34" w:name="_Toc35500803"/>
      <w:bookmarkStart w:id="35" w:name="_Toc35452577"/>
      <w:r>
        <w:rPr>
          <w:rFonts w:hint="eastAsia" w:cs="Times New Roman" w:asciiTheme="majorEastAsia" w:hAnsiTheme="majorEastAsia" w:eastAsiaTheme="majorEastAsia"/>
          <w:b/>
          <w:bCs/>
          <w:kern w:val="2"/>
          <w:sz w:val="28"/>
          <w:szCs w:val="28"/>
        </w:rPr>
        <w:t>资产负债表</w:t>
      </w:r>
      <w:bookmarkEnd w:id="30"/>
      <w:bookmarkEnd w:id="31"/>
      <w:bookmarkEnd w:id="32"/>
      <w:bookmarkEnd w:id="33"/>
      <w:bookmarkEnd w:id="34"/>
      <w:bookmarkEnd w:id="35"/>
    </w:p>
    <w:p>
      <w:pPr>
        <w:tabs>
          <w:tab w:val="left" w:pos="4160"/>
          <w:tab w:val="left" w:pos="7170"/>
        </w:tabs>
        <w:adjustRightInd w:val="0"/>
        <w:snapToGrid w:val="0"/>
        <w:spacing w:line="320" w:lineRule="exact"/>
        <w:ind w:left="-425" w:leftChars="-177"/>
        <w:rPr>
          <w:b/>
          <w:bCs/>
          <w:sz w:val="20"/>
          <w:szCs w:val="20"/>
        </w:rPr>
      </w:pPr>
      <w:r>
        <w:rPr>
          <w:rFonts w:hint="eastAsia"/>
          <w:sz w:val="20"/>
          <w:szCs w:val="20"/>
        </w:rPr>
        <w:t>编制单位：宿州市萧县青龙镇中心学校</w:t>
      </w:r>
      <w:r>
        <w:rPr>
          <w:b/>
          <w:bCs/>
          <w:sz w:val="20"/>
          <w:szCs w:val="20"/>
        </w:rPr>
        <w:tab/>
      </w:r>
      <w:r>
        <w:rPr>
          <w:sz w:val="20"/>
          <w:szCs w:val="20"/>
        </w:rPr>
        <w:t>2019</w:t>
      </w:r>
      <w:r>
        <w:rPr>
          <w:rFonts w:hint="eastAsia"/>
          <w:sz w:val="20"/>
          <w:szCs w:val="20"/>
        </w:rPr>
        <w:t>年12月31日</w:t>
      </w:r>
      <w:r>
        <w:rPr>
          <w:b/>
          <w:bCs/>
          <w:sz w:val="20"/>
          <w:szCs w:val="20"/>
        </w:rPr>
        <w:tab/>
      </w:r>
      <w:r>
        <w:rPr>
          <w:rFonts w:hint="eastAsia"/>
          <w:sz w:val="20"/>
          <w:szCs w:val="20"/>
        </w:rPr>
        <w:t>单位：万元</w:t>
      </w:r>
    </w:p>
    <w:tbl>
      <w:tblPr>
        <w:tblStyle w:val="34"/>
        <w:tblW w:w="8958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0"/>
        <w:gridCol w:w="1276"/>
        <w:gridCol w:w="1733"/>
        <w:gridCol w:w="2059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tblHeader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项目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附注</w:t>
            </w: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年末数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年初数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exact"/>
          <w:tblHeader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b/>
                <w:position w:val="-1"/>
                <w:sz w:val="20"/>
              </w:rPr>
              <w:t>流动资产：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货币资金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附表1</w:t>
            </w: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11.23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18.84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短期投资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财政应返还额度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30.24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应收票据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应收账款净额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附表2</w:t>
            </w: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预付账款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附表3</w:t>
            </w: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应收股利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应收利息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其他应收款净额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附表4</w:t>
            </w: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存货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待摊费用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一年内到期的非流动资产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其他流动资产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  <w:r>
              <w:rPr>
                <w:b/>
                <w:position w:val="-1"/>
                <w:sz w:val="20"/>
              </w:rPr>
              <w:t>流动资产合计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11.23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49.08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>非流动资产：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长期股权投资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附表5</w:t>
            </w: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长期债券投资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附表5</w:t>
            </w: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固定资产原值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1,192.95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1,229.28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  减：固定资产累计折旧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19.47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16.98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固定资产净值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附表6</w:t>
            </w: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1,173.48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1,212.30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工程物资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在建工程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附表7</w:t>
            </w: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无形资产原值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  减：无形资产累计摊销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无形资产净值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附表8</w:t>
            </w: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研发支出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公共基础设施原值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附表9</w:t>
            </w: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  减：公共基础设施累计折旧（摊销）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  附表9</w:t>
            </w: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公共基础设施净值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附表9</w:t>
            </w: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政府储备物资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附表10</w:t>
            </w: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文物文化资产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保障性住房原值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  减：保障性住房累计折旧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保障性住房净值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附表11</w:t>
            </w: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长期待摊费用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待处理财产损溢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其他非流动资产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  <w:r>
              <w:rPr>
                <w:b/>
                <w:position w:val="-1"/>
                <w:sz w:val="20"/>
              </w:rPr>
              <w:t>非流动资产合计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1,173.48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1,212.30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3890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b/>
                <w:position w:val="-1"/>
                <w:sz w:val="20"/>
              </w:rPr>
              <w:t>受托代理资产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3890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  <w:r>
              <w:rPr>
                <w:b/>
                <w:position w:val="-1"/>
                <w:sz w:val="20"/>
              </w:rPr>
              <w:t>资产总计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1,184.71</w:t>
            </w:r>
          </w:p>
        </w:tc>
        <w:tc>
          <w:tcPr>
            <w:tcW w:w="2059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1,261.38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>流动负债：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短期借款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应交增值税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其他应交税费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应缴财政款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应付职工薪酬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88.72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应付票据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应付账款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附表12</w:t>
            </w: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应付政府补贴款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应付利息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预收账款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附表13</w:t>
            </w: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其他应付款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附表14</w:t>
            </w: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预提费用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一年内到期的非流动负债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其他流动负债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  <w:r>
              <w:rPr>
                <w:b/>
                <w:position w:val="-1"/>
                <w:sz w:val="20"/>
              </w:rPr>
              <w:t>流动负债合计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88.72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>非流动负债：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长期借款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附表15</w:t>
            </w: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长期应付款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附表16</w:t>
            </w: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预计负债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其他非流动负债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  <w:r>
              <w:rPr>
                <w:b/>
                <w:position w:val="-1"/>
                <w:sz w:val="20"/>
              </w:rPr>
              <w:t>非流动负债合计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3890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b/>
                <w:position w:val="-1"/>
                <w:sz w:val="20"/>
              </w:rPr>
              <w:t>受托代理负债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3890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b/>
                <w:position w:val="-1"/>
                <w:sz w:val="20"/>
              </w:rPr>
              <w:t>负债合计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88.72</w:t>
            </w:r>
          </w:p>
        </w:tc>
        <w:tc>
          <w:tcPr>
            <w:tcW w:w="2059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>净资产: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累计盈余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1,095.99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1,261.38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专用基金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890" w:type="dxa"/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position w:val="-1"/>
                <w:sz w:val="20"/>
              </w:rPr>
              <w:t xml:space="preserve">  权益法调整</w:t>
            </w:r>
          </w:p>
        </w:tc>
        <w:tc>
          <w:tcPr>
            <w:tcW w:w="1276" w:type="dxa"/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2059" w:type="dxa"/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3890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b/>
                <w:position w:val="-1"/>
                <w:sz w:val="20"/>
              </w:rPr>
              <w:t>净资产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1,095.99</w:t>
            </w:r>
          </w:p>
        </w:tc>
        <w:tc>
          <w:tcPr>
            <w:tcW w:w="2059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1,261.38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3890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spacing w:line="320" w:lineRule="exact"/>
            </w:pPr>
            <w:r>
              <w:rPr>
                <w:b/>
                <w:position w:val="-1"/>
                <w:sz w:val="20"/>
              </w:rPr>
              <w:t>负债及净资产总计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733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1,184.71</w:t>
            </w:r>
          </w:p>
        </w:tc>
        <w:tc>
          <w:tcPr>
            <w:tcW w:w="2059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spacing w:line="320" w:lineRule="exact"/>
              <w:jc w:val="right"/>
            </w:pPr>
            <w:r>
              <w:rPr>
                <w:color w:val="000000"/>
                <w:position w:val="-1"/>
                <w:sz w:val="20"/>
              </w:rPr>
              <w:t>1,261.38</w:t>
            </w:r>
          </w:p>
        </w:tc>
      </w:tr>
    </w:tbl>
    <w:p>
      <w:pPr>
        <w:pStyle w:val="110"/>
        <w:ind w:firstLine="0" w:firstLineChars="0"/>
        <w:rPr>
          <w:rFonts w:asciiTheme="minorEastAsia" w:hAnsiTheme="minorEastAsia" w:eastAsiaTheme="minorEastAsia"/>
          <w:sz w:val="22"/>
        </w:rPr>
      </w:pPr>
      <w:bookmarkStart w:id="36" w:name="_Toc435362490"/>
      <w:bookmarkStart w:id="37" w:name="_Toc435362292"/>
      <w:bookmarkStart w:id="38" w:name="_Toc435361947"/>
      <w:bookmarkStart w:id="39" w:name="_Toc435362065"/>
    </w:p>
    <w:p>
      <w:r>
        <w:rPr>
          <w:rFonts w:hint="eastAsia"/>
        </w:rPr>
        <w:t>表</w:t>
      </w:r>
      <w:r>
        <w:t>2</w:t>
      </w:r>
      <w:bookmarkEnd w:id="36"/>
      <w:bookmarkEnd w:id="37"/>
      <w:bookmarkEnd w:id="38"/>
      <w:bookmarkEnd w:id="39"/>
      <w:r>
        <w:rPr>
          <w:rFonts w:hint="eastAsia"/>
        </w:rPr>
        <w:t>-1</w:t>
      </w:r>
    </w:p>
    <w:p>
      <w:pPr>
        <w:spacing w:before="2" w:line="360" w:lineRule="auto"/>
        <w:ind w:firstLine="562" w:firstLineChars="200"/>
        <w:jc w:val="center"/>
        <w:outlineLvl w:val="2"/>
        <w:rPr>
          <w:rFonts w:cs="Times New Roman" w:asciiTheme="majorEastAsia" w:hAnsiTheme="majorEastAsia" w:eastAsiaTheme="majorEastAsia"/>
          <w:b/>
          <w:bCs/>
          <w:kern w:val="2"/>
          <w:sz w:val="28"/>
          <w:szCs w:val="28"/>
        </w:rPr>
      </w:pPr>
      <w:bookmarkStart w:id="40" w:name="_Toc35452578"/>
      <w:bookmarkStart w:id="41" w:name="_Toc35500804"/>
      <w:r>
        <w:rPr>
          <w:rFonts w:hint="eastAsia" w:cs="Times New Roman" w:asciiTheme="majorEastAsia" w:hAnsiTheme="majorEastAsia" w:eastAsiaTheme="majorEastAsia"/>
          <w:b/>
          <w:bCs/>
          <w:kern w:val="2"/>
          <w:sz w:val="28"/>
          <w:szCs w:val="28"/>
        </w:rPr>
        <w:t>收入费用表</w:t>
      </w:r>
      <w:r>
        <w:rPr>
          <w:rFonts w:cs="Times New Roman" w:asciiTheme="majorEastAsia" w:hAnsiTheme="majorEastAsia" w:eastAsiaTheme="majorEastAsia"/>
          <w:b/>
          <w:bCs/>
          <w:kern w:val="2"/>
          <w:sz w:val="28"/>
          <w:szCs w:val="28"/>
        </w:rPr>
        <w:t>（1）</w:t>
      </w:r>
      <w:bookmarkEnd w:id="40"/>
      <w:bookmarkEnd w:id="41"/>
    </w:p>
    <w:p>
      <w:pPr>
        <w:tabs>
          <w:tab w:val="left" w:pos="4962"/>
          <w:tab w:val="left" w:pos="7150"/>
        </w:tabs>
        <w:adjustRightInd w:val="0"/>
        <w:snapToGrid w:val="0"/>
        <w:spacing w:line="320" w:lineRule="exact"/>
        <w:ind w:left="-425" w:leftChars="-177"/>
        <w:rPr>
          <w:b/>
          <w:bCs/>
          <w:sz w:val="20"/>
          <w:szCs w:val="20"/>
        </w:rPr>
      </w:pPr>
      <w:r>
        <w:rPr>
          <w:rFonts w:hint="eastAsia"/>
          <w:sz w:val="20"/>
          <w:szCs w:val="20"/>
        </w:rPr>
        <w:t>编制单位：宿州市萧县青龙镇中心学校</w:t>
      </w:r>
      <w:r>
        <w:rPr>
          <w:b/>
          <w:bCs/>
          <w:sz w:val="20"/>
          <w:szCs w:val="20"/>
        </w:rPr>
        <w:tab/>
      </w:r>
      <w:r>
        <w:rPr>
          <w:rFonts w:hint="eastAsia"/>
          <w:sz w:val="20"/>
          <w:szCs w:val="20"/>
        </w:rPr>
        <w:t>2019  年</w:t>
      </w:r>
      <w:r>
        <w:rPr>
          <w:b/>
          <w:bCs/>
          <w:sz w:val="20"/>
          <w:szCs w:val="20"/>
        </w:rPr>
        <w:tab/>
      </w:r>
      <w:r>
        <w:rPr>
          <w:rFonts w:hint="eastAsia"/>
          <w:sz w:val="20"/>
          <w:szCs w:val="20"/>
        </w:rPr>
        <w:t>单位：万元</w:t>
      </w:r>
    </w:p>
    <w:tbl>
      <w:tblPr>
        <w:tblStyle w:val="34"/>
        <w:tblW w:w="9073" w:type="dxa"/>
        <w:tblInd w:w="-318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7"/>
        <w:gridCol w:w="1417"/>
        <w:gridCol w:w="1985"/>
        <w:gridCol w:w="198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3687" w:type="dxa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项目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附注</w:t>
            </w: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本年数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上年数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exact"/>
          <w:tblHeader/>
        </w:trPr>
        <w:tc>
          <w:tcPr>
            <w:tcW w:w="3687" w:type="dxa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color w:val="000000"/>
                <w:position w:val="-1"/>
                <w:sz w:val="20"/>
              </w:rPr>
              <w:t xml:space="preserve">  财政拨款收入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color w:val="000000"/>
                <w:position w:val="-1"/>
                <w:sz w:val="20"/>
              </w:rPr>
              <w:t>2,129.23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color w:val="000000"/>
                <w:position w:val="-1"/>
                <w:sz w:val="20"/>
              </w:rPr>
              <w:t xml:space="preserve">  事业收入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附表17</w:t>
            </w: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color w:val="000000"/>
                <w:position w:val="-1"/>
                <w:sz w:val="20"/>
              </w:rPr>
              <w:t>14.81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color w:val="000000"/>
                <w:position w:val="-1"/>
                <w:sz w:val="20"/>
              </w:rPr>
              <w:t xml:space="preserve">  上级补助收入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附表25</w:t>
            </w: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color w:val="000000"/>
                <w:position w:val="-1"/>
                <w:sz w:val="20"/>
              </w:rPr>
              <w:t xml:space="preserve">  附属单位上缴收入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附表27</w:t>
            </w: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color w:val="000000"/>
                <w:position w:val="-1"/>
                <w:sz w:val="20"/>
              </w:rPr>
              <w:t xml:space="preserve">  经营收入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附表18</w:t>
            </w: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color w:val="000000"/>
                <w:position w:val="-1"/>
                <w:sz w:val="20"/>
              </w:rPr>
              <w:t xml:space="preserve">  非同级财政拨款收入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附表19</w:t>
            </w: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color w:val="000000"/>
                <w:position w:val="-1"/>
                <w:sz w:val="20"/>
              </w:rPr>
              <w:t xml:space="preserve">  投资收益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附表5</w:t>
            </w: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color w:val="000000"/>
                <w:position w:val="-1"/>
                <w:sz w:val="20"/>
              </w:rPr>
              <w:t xml:space="preserve">  捐赠收入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color w:val="000000"/>
                <w:position w:val="-1"/>
                <w:sz w:val="20"/>
              </w:rPr>
              <w:t xml:space="preserve">  利息收入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color w:val="000000"/>
                <w:position w:val="-1"/>
                <w:sz w:val="20"/>
              </w:rPr>
              <w:t xml:space="preserve">  租金收入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color w:val="000000"/>
                <w:position w:val="-1"/>
                <w:sz w:val="20"/>
              </w:rPr>
              <w:t xml:space="preserve">  其他收入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附表20</w:t>
            </w: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3687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r>
              <w:rPr>
                <w:b/>
                <w:color w:val="000000"/>
                <w:position w:val="-1"/>
                <w:sz w:val="20"/>
              </w:rPr>
              <w:t>收入合计</w:t>
            </w:r>
          </w:p>
        </w:tc>
        <w:tc>
          <w:tcPr>
            <w:tcW w:w="1417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color w:val="000000"/>
                <w:position w:val="-1"/>
                <w:sz w:val="20"/>
              </w:rPr>
              <w:t>2,144.04</w:t>
            </w:r>
          </w:p>
        </w:tc>
        <w:tc>
          <w:tcPr>
            <w:tcW w:w="1984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color w:val="000000"/>
                <w:position w:val="-1"/>
                <w:sz w:val="20"/>
              </w:rPr>
              <w:t xml:space="preserve">  业务活动费用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附表21</w:t>
            </w: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color w:val="000000"/>
                <w:position w:val="-1"/>
                <w:sz w:val="20"/>
              </w:rPr>
              <w:t>756.08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color w:val="000000"/>
                <w:position w:val="-1"/>
                <w:sz w:val="20"/>
              </w:rPr>
              <w:t xml:space="preserve">  单位管理费用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附表22</w:t>
            </w: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color w:val="000000"/>
                <w:position w:val="-1"/>
                <w:sz w:val="20"/>
              </w:rPr>
              <w:t>1,244.21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color w:val="000000"/>
                <w:position w:val="-1"/>
                <w:sz w:val="20"/>
              </w:rPr>
              <w:t xml:space="preserve">  经营费用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附表23</w:t>
            </w: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color w:val="000000"/>
                <w:position w:val="-1"/>
                <w:sz w:val="20"/>
              </w:rPr>
              <w:t xml:space="preserve">  资产处置费用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color w:val="000000"/>
                <w:position w:val="-1"/>
                <w:sz w:val="20"/>
              </w:rPr>
              <w:t xml:space="preserve">  上缴上级费用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附表28</w:t>
            </w: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color w:val="000000"/>
                <w:position w:val="-1"/>
                <w:sz w:val="20"/>
              </w:rPr>
              <w:t xml:space="preserve">  对附属单位补助费用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  <w:r>
              <w:rPr>
                <w:color w:val="000000"/>
                <w:position w:val="-1"/>
                <w:sz w:val="20"/>
              </w:rPr>
              <w:t xml:space="preserve">  附表26</w:t>
            </w: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color w:val="000000"/>
                <w:position w:val="-1"/>
                <w:sz w:val="20"/>
              </w:rPr>
              <w:t xml:space="preserve">  所得税费用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color w:val="000000"/>
                <w:position w:val="-1"/>
                <w:sz w:val="20"/>
              </w:rPr>
              <w:t xml:space="preserve">  其他费用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color w:val="000000"/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3687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r>
              <w:rPr>
                <w:b/>
                <w:color w:val="000000"/>
                <w:position w:val="-1"/>
                <w:sz w:val="20"/>
              </w:rPr>
              <w:t>费用合计</w:t>
            </w:r>
          </w:p>
        </w:tc>
        <w:tc>
          <w:tcPr>
            <w:tcW w:w="1417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color w:val="000000"/>
                <w:position w:val="-1"/>
                <w:sz w:val="20"/>
              </w:rPr>
              <w:t>2,000.29</w:t>
            </w:r>
          </w:p>
        </w:tc>
        <w:tc>
          <w:tcPr>
            <w:tcW w:w="1984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3687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</w:pPr>
            <w:r>
              <w:rPr>
                <w:b/>
                <w:color w:val="000000"/>
                <w:position w:val="-1"/>
                <w:sz w:val="20"/>
              </w:rPr>
              <w:t>本年盈余</w:t>
            </w:r>
          </w:p>
        </w:tc>
        <w:tc>
          <w:tcPr>
            <w:tcW w:w="1417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color w:val="000000"/>
                <w:position w:val="-1"/>
                <w:sz w:val="20"/>
              </w:rPr>
              <w:t>143.75</w:t>
            </w:r>
          </w:p>
        </w:tc>
        <w:tc>
          <w:tcPr>
            <w:tcW w:w="1984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</w:tbl>
    <w:p>
      <w:pPr>
        <w:pStyle w:val="110"/>
        <w:ind w:firstLine="0" w:firstLineChars="0"/>
        <w:rPr>
          <w:rFonts w:asciiTheme="minorEastAsia" w:hAnsiTheme="minorEastAsia" w:eastAsiaTheme="minorEastAsia"/>
          <w:sz w:val="22"/>
        </w:rPr>
      </w:pPr>
    </w:p>
    <w:p>
      <w:r>
        <w:rPr>
          <w:rFonts w:hint="eastAsia"/>
        </w:rPr>
        <w:t>表</w:t>
      </w:r>
      <w:r>
        <w:t>2</w:t>
      </w:r>
      <w:r>
        <w:rPr>
          <w:rFonts w:hint="eastAsia"/>
        </w:rPr>
        <w:t>-2</w:t>
      </w:r>
      <w:r>
        <w:rPr>
          <w:rStyle w:val="42"/>
        </w:rPr>
        <w:footnoteReference w:id="0"/>
      </w:r>
    </w:p>
    <w:p>
      <w:pPr>
        <w:spacing w:before="2" w:line="360" w:lineRule="auto"/>
        <w:ind w:firstLine="562" w:firstLineChars="200"/>
        <w:jc w:val="center"/>
        <w:outlineLvl w:val="2"/>
        <w:rPr>
          <w:rFonts w:cs="Times New Roman" w:asciiTheme="majorEastAsia" w:hAnsiTheme="majorEastAsia" w:eastAsiaTheme="majorEastAsia"/>
          <w:b/>
          <w:bCs/>
          <w:kern w:val="2"/>
          <w:sz w:val="28"/>
          <w:szCs w:val="28"/>
        </w:rPr>
      </w:pPr>
      <w:bookmarkStart w:id="42" w:name="_Toc35500805"/>
      <w:bookmarkStart w:id="43" w:name="_Toc35452579"/>
      <w:r>
        <w:rPr>
          <w:rFonts w:hint="eastAsia" w:cs="Times New Roman" w:asciiTheme="majorEastAsia" w:hAnsiTheme="majorEastAsia" w:eastAsiaTheme="majorEastAsia"/>
          <w:b/>
          <w:bCs/>
          <w:kern w:val="2"/>
          <w:sz w:val="28"/>
          <w:szCs w:val="28"/>
        </w:rPr>
        <w:t>收入费用表</w:t>
      </w:r>
      <w:r>
        <w:rPr>
          <w:rFonts w:cs="Times New Roman" w:asciiTheme="majorEastAsia" w:hAnsiTheme="majorEastAsia" w:eastAsiaTheme="majorEastAsia"/>
          <w:b/>
          <w:bCs/>
          <w:kern w:val="2"/>
          <w:sz w:val="28"/>
          <w:szCs w:val="28"/>
        </w:rPr>
        <w:t>（</w:t>
      </w:r>
      <w:r>
        <w:rPr>
          <w:rFonts w:hint="eastAsia" w:cs="Times New Roman" w:asciiTheme="majorEastAsia" w:hAnsiTheme="majorEastAsia" w:eastAsiaTheme="majorEastAsia"/>
          <w:b/>
          <w:bCs/>
          <w:kern w:val="2"/>
          <w:sz w:val="28"/>
          <w:szCs w:val="28"/>
        </w:rPr>
        <w:t>2</w:t>
      </w:r>
      <w:r>
        <w:rPr>
          <w:rFonts w:cs="Times New Roman" w:asciiTheme="majorEastAsia" w:hAnsiTheme="majorEastAsia" w:eastAsiaTheme="majorEastAsia"/>
          <w:b/>
          <w:bCs/>
          <w:kern w:val="2"/>
          <w:sz w:val="28"/>
          <w:szCs w:val="28"/>
        </w:rPr>
        <w:t>）</w:t>
      </w:r>
      <w:bookmarkEnd w:id="42"/>
      <w:bookmarkEnd w:id="43"/>
    </w:p>
    <w:p>
      <w:pPr>
        <w:tabs>
          <w:tab w:val="left" w:pos="4962"/>
          <w:tab w:val="left" w:pos="7150"/>
        </w:tabs>
        <w:adjustRightInd w:val="0"/>
        <w:snapToGrid w:val="0"/>
        <w:spacing w:line="320" w:lineRule="exact"/>
        <w:ind w:left="-425" w:leftChars="-177"/>
        <w:rPr>
          <w:b/>
          <w:bCs/>
          <w:sz w:val="20"/>
          <w:szCs w:val="20"/>
        </w:rPr>
      </w:pPr>
      <w:r>
        <w:rPr>
          <w:rFonts w:hint="eastAsia"/>
          <w:sz w:val="20"/>
          <w:szCs w:val="20"/>
        </w:rPr>
        <w:t>编制单位：宿州市萧县青龙镇中心学校</w:t>
      </w:r>
      <w:r>
        <w:rPr>
          <w:b/>
          <w:bCs/>
          <w:sz w:val="20"/>
          <w:szCs w:val="20"/>
        </w:rPr>
        <w:tab/>
      </w:r>
      <w:r>
        <w:rPr>
          <w:rFonts w:hint="eastAsia"/>
          <w:sz w:val="20"/>
          <w:szCs w:val="20"/>
        </w:rPr>
        <w:t>2019  年</w:t>
      </w:r>
      <w:r>
        <w:rPr>
          <w:b/>
          <w:bCs/>
          <w:sz w:val="20"/>
          <w:szCs w:val="20"/>
        </w:rPr>
        <w:tab/>
      </w:r>
      <w:r>
        <w:rPr>
          <w:rFonts w:hint="eastAsia"/>
          <w:sz w:val="20"/>
          <w:szCs w:val="20"/>
        </w:rPr>
        <w:t>单位：万元</w:t>
      </w:r>
    </w:p>
    <w:tbl>
      <w:tblPr>
        <w:tblStyle w:val="34"/>
        <w:tblW w:w="9073" w:type="dxa"/>
        <w:tblInd w:w="-318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7"/>
        <w:gridCol w:w="1417"/>
        <w:gridCol w:w="1985"/>
        <w:gridCol w:w="198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3687" w:type="dxa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项目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附注</w:t>
            </w: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本年数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上年数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exact"/>
          <w:tblHeader/>
        </w:trPr>
        <w:tc>
          <w:tcPr>
            <w:tcW w:w="3687" w:type="dxa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财政拨款收入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2,129.23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事业收入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  <w:r>
              <w:rPr>
                <w:position w:val="-1"/>
                <w:sz w:val="20"/>
              </w:rPr>
              <w:t xml:space="preserve">  附表17</w:t>
            </w: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14.81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上级补助收入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  <w:r>
              <w:rPr>
                <w:position w:val="-1"/>
                <w:sz w:val="20"/>
              </w:rPr>
              <w:t xml:space="preserve">  附表25</w:t>
            </w: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附属单位上缴收入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  <w:r>
              <w:rPr>
                <w:position w:val="-1"/>
                <w:sz w:val="20"/>
              </w:rPr>
              <w:t xml:space="preserve">  附表27</w:t>
            </w: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经营收入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  <w:r>
              <w:rPr>
                <w:position w:val="-1"/>
                <w:sz w:val="20"/>
              </w:rPr>
              <w:t xml:space="preserve">  附表18</w:t>
            </w: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非同级财政拨款收入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  <w:r>
              <w:rPr>
                <w:position w:val="-1"/>
                <w:sz w:val="20"/>
              </w:rPr>
              <w:t xml:space="preserve">  附表19</w:t>
            </w: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投资收益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  <w:r>
              <w:rPr>
                <w:position w:val="-1"/>
                <w:sz w:val="20"/>
              </w:rPr>
              <w:t xml:space="preserve">  附表5</w:t>
            </w: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捐赠收入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利息收入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租金收入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其他收入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  <w:r>
              <w:rPr>
                <w:position w:val="-1"/>
                <w:sz w:val="20"/>
              </w:rPr>
              <w:t xml:space="preserve">  附表20</w:t>
            </w: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3687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r>
              <w:rPr>
                <w:b/>
                <w:position w:val="-1"/>
                <w:sz w:val="20"/>
              </w:rPr>
              <w:t>收入合计</w:t>
            </w:r>
          </w:p>
        </w:tc>
        <w:tc>
          <w:tcPr>
            <w:tcW w:w="1417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2,144.04</w:t>
            </w:r>
          </w:p>
        </w:tc>
        <w:tc>
          <w:tcPr>
            <w:tcW w:w="1984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工资福利费用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1,997.80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商品和服务费用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  <w:r>
              <w:rPr>
                <w:position w:val="-1"/>
                <w:sz w:val="20"/>
              </w:rPr>
              <w:t xml:space="preserve">  附表24</w:t>
            </w: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对个人和家庭的补助费用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对企业补助费用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固定资产折旧费用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2.49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无形资产摊销费用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公共基础设施折旧（摊销）费用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保障性住房折旧费用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计提专用基金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资产处置费用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上缴上级费用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对附属单位补助费用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所得税费用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87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其他费用</w:t>
            </w:r>
          </w:p>
        </w:tc>
        <w:tc>
          <w:tcPr>
            <w:tcW w:w="1417" w:type="dxa"/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984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3687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r>
              <w:rPr>
                <w:b/>
                <w:position w:val="-1"/>
                <w:sz w:val="20"/>
              </w:rPr>
              <w:t>费用合计</w:t>
            </w:r>
          </w:p>
        </w:tc>
        <w:tc>
          <w:tcPr>
            <w:tcW w:w="1417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2,000.29</w:t>
            </w:r>
          </w:p>
        </w:tc>
        <w:tc>
          <w:tcPr>
            <w:tcW w:w="1984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3687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</w:pPr>
            <w:r>
              <w:rPr>
                <w:b/>
                <w:position w:val="-1"/>
                <w:sz w:val="20"/>
              </w:rPr>
              <w:t>本年盈余</w:t>
            </w:r>
          </w:p>
        </w:tc>
        <w:tc>
          <w:tcPr>
            <w:tcW w:w="1417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jc w:val="center"/>
            </w:pPr>
          </w:p>
        </w:tc>
        <w:tc>
          <w:tcPr>
            <w:tcW w:w="1985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143.75</w:t>
            </w:r>
          </w:p>
        </w:tc>
        <w:tc>
          <w:tcPr>
            <w:tcW w:w="1984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</w:tbl>
    <w:p>
      <w:pPr>
        <w:rPr>
          <w:sz w:val="22"/>
          <w:szCs w:val="22"/>
        </w:rPr>
      </w:pPr>
    </w:p>
    <w:p>
      <w:pPr>
        <w:rPr>
          <w:position w:val="9"/>
          <w:sz w:val="9"/>
          <w:szCs w:val="9"/>
        </w:rPr>
      </w:pPr>
    </w:p>
    <w:p>
      <w:pPr>
        <w:rPr>
          <w:position w:val="9"/>
          <w:sz w:val="9"/>
          <w:szCs w:val="9"/>
        </w:rPr>
      </w:pPr>
    </w:p>
    <w:p/>
    <w:p/>
    <w:p/>
    <w:p/>
    <w:p/>
    <w:p/>
    <w:p/>
    <w:p/>
    <w:p>
      <w:pPr>
        <w:spacing w:before="57" w:line="331" w:lineRule="auto"/>
        <w:ind w:left="217" w:right="371" w:hanging="1"/>
        <w:rPr>
          <w:sz w:val="18"/>
          <w:szCs w:val="18"/>
        </w:rPr>
      </w:pPr>
    </w:p>
    <w:p>
      <w:pPr>
        <w:spacing w:before="57" w:line="331" w:lineRule="auto"/>
        <w:ind w:left="217" w:right="371" w:hanging="1"/>
        <w:rPr>
          <w:sz w:val="18"/>
          <w:szCs w:val="18"/>
        </w:rPr>
      </w:pPr>
    </w:p>
    <w:p>
      <w:pPr>
        <w:spacing w:before="57" w:line="331" w:lineRule="auto"/>
        <w:ind w:left="217" w:right="371" w:hanging="1"/>
        <w:rPr>
          <w:sz w:val="18"/>
          <w:szCs w:val="18"/>
        </w:rPr>
      </w:pPr>
    </w:p>
    <w:p>
      <w:pPr>
        <w:spacing w:before="57" w:line="331" w:lineRule="auto"/>
        <w:ind w:left="217" w:right="371" w:hanging="1"/>
        <w:rPr>
          <w:sz w:val="18"/>
          <w:szCs w:val="18"/>
        </w:rPr>
      </w:pPr>
    </w:p>
    <w:p>
      <w:pPr>
        <w:spacing w:before="57" w:line="331" w:lineRule="auto"/>
        <w:ind w:left="217" w:right="371" w:hanging="1"/>
        <w:rPr>
          <w:sz w:val="18"/>
          <w:szCs w:val="18"/>
        </w:rPr>
      </w:pPr>
    </w:p>
    <w:p>
      <w:pPr>
        <w:pStyle w:val="3"/>
        <w:spacing w:before="0" w:after="0" w:line="360" w:lineRule="auto"/>
        <w:ind w:firstLine="602" w:firstLineChars="200"/>
        <w:jc w:val="left"/>
        <w:rPr>
          <w:rFonts w:ascii="楷体" w:hAnsi="楷体" w:eastAsia="楷体"/>
        </w:rPr>
      </w:pPr>
      <w:bookmarkStart w:id="44" w:name="_Toc35452580"/>
      <w:bookmarkStart w:id="45" w:name="_Toc35500806"/>
      <w:bookmarkStart w:id="46" w:name="_Toc333610272"/>
      <w:r>
        <w:rPr>
          <w:rFonts w:ascii="楷体" w:hAnsi="楷体" w:eastAsia="楷体"/>
        </w:rPr>
        <w:t>（二）政府部门会计报表附注</w:t>
      </w:r>
      <w:bookmarkEnd w:id="44"/>
      <w:bookmarkEnd w:id="45"/>
    </w:p>
    <w:p>
      <w:pPr>
        <w:pStyle w:val="4"/>
        <w:spacing w:before="0" w:after="0" w:line="360" w:lineRule="auto"/>
        <w:ind w:firstLine="602"/>
        <w:jc w:val="left"/>
        <w:rPr>
          <w:rFonts w:ascii="仿宋" w:hAnsi="仿宋" w:eastAsia="仿宋"/>
          <w:b/>
        </w:rPr>
      </w:pPr>
      <w:bookmarkStart w:id="47" w:name="2.遵循相关制度规定的声明。（略）"/>
      <w:bookmarkEnd w:id="47"/>
      <w:bookmarkStart w:id="48" w:name="1.会计报表编制基础。（略）"/>
      <w:bookmarkEnd w:id="48"/>
      <w:bookmarkStart w:id="49" w:name="_Toc35452581"/>
      <w:bookmarkStart w:id="50" w:name="_Toc35500807"/>
      <w:bookmarkStart w:id="51" w:name="_Toc35452582"/>
      <w:r>
        <w:rPr>
          <w:rFonts w:ascii="仿宋" w:hAnsi="仿宋" w:eastAsia="仿宋"/>
          <w:b/>
        </w:rPr>
        <w:t>1.会计报表编制基础。</w:t>
      </w:r>
      <w:bookmarkEnd w:id="49"/>
      <w:bookmarkEnd w:id="50"/>
    </w:p>
    <w:p>
      <w:pPr>
        <w:pStyle w:val="110"/>
        <w:spacing w:line="580" w:lineRule="exact"/>
        <w:ind w:firstLine="640"/>
        <w:jc w:val="both"/>
        <w:rPr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政府部门会计报表以权责发生制为基础编制。</w:t>
      </w:r>
    </w:p>
    <w:p>
      <w:pPr>
        <w:spacing w:before="2"/>
        <w:rPr>
          <w:rFonts w:ascii="仿宋" w:hAnsi="仿宋" w:eastAsia="仿宋" w:cs="Times New Roman"/>
          <w:b/>
          <w:bCs/>
          <w:kern w:val="2"/>
          <w:sz w:val="30"/>
          <w:szCs w:val="28"/>
        </w:rPr>
      </w:pPr>
    </w:p>
    <w:p>
      <w:pPr>
        <w:pStyle w:val="4"/>
        <w:spacing w:before="0" w:after="0" w:line="360" w:lineRule="auto"/>
        <w:ind w:firstLine="602"/>
        <w:jc w:val="left"/>
        <w:rPr>
          <w:rFonts w:ascii="仿宋" w:hAnsi="仿宋" w:eastAsia="仿宋"/>
          <w:b/>
        </w:rPr>
      </w:pPr>
      <w:bookmarkStart w:id="52" w:name="_Toc35500808"/>
      <w:r>
        <w:rPr>
          <w:rFonts w:ascii="仿宋" w:hAnsi="仿宋" w:eastAsia="仿宋"/>
          <w:b/>
        </w:rPr>
        <w:t>2.遵循相关制度规定的声明。</w:t>
      </w:r>
      <w:bookmarkEnd w:id="51"/>
      <w:bookmarkEnd w:id="52"/>
    </w:p>
    <w:p>
      <w:pPr>
        <w:pStyle w:val="110"/>
        <w:spacing w:line="580" w:lineRule="exact"/>
        <w:ind w:firstLine="640"/>
        <w:jc w:val="both"/>
        <w:rPr>
          <w:rFonts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政府部门应当声明编制的会计报表符合政府会计准则、相关会计制度和财务报告编制规定的要求，如实反映政府部门的财务状况、运行情况等有关信息。</w:t>
      </w:r>
    </w:p>
    <w:p>
      <w:pPr>
        <w:pStyle w:val="4"/>
        <w:numPr>
          <w:ilvl w:val="0"/>
          <w:numId w:val="1"/>
        </w:numPr>
        <w:spacing w:before="0" w:after="0" w:line="360" w:lineRule="auto"/>
        <w:ind w:firstLine="602"/>
        <w:jc w:val="left"/>
        <w:rPr>
          <w:rFonts w:ascii="仿宋" w:hAnsi="仿宋" w:eastAsia="仿宋"/>
          <w:b/>
        </w:rPr>
      </w:pPr>
      <w:bookmarkStart w:id="53" w:name="3.合并范围。（略）"/>
      <w:bookmarkEnd w:id="53"/>
      <w:bookmarkStart w:id="54" w:name="_Toc35452583"/>
      <w:bookmarkStart w:id="55" w:name="_Toc35500809"/>
      <w:r>
        <w:rPr>
          <w:rFonts w:ascii="仿宋" w:hAnsi="仿宋" w:eastAsia="仿宋"/>
          <w:b/>
        </w:rPr>
        <w:t>合并范围。</w:t>
      </w:r>
      <w:bookmarkEnd w:id="54"/>
      <w:bookmarkEnd w:id="55"/>
    </w:p>
    <w:tbl>
      <w:tblPr>
        <w:tblStyle w:val="34"/>
        <w:tblW w:w="862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1"/>
        <w:gridCol w:w="3910"/>
        <w:gridCol w:w="2230"/>
        <w:gridCol w:w="14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8622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FFFFFF" w:fill="FFFFFF"/>
          </w:tcPr>
          <w:p>
            <w:pPr>
              <w:pStyle w:val="144"/>
              <w:spacing w:line="260" w:lineRule="exact"/>
              <w:jc w:val="center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0"/>
                <w:szCs w:val="20"/>
              </w:rPr>
              <w:t>2019年度部门清单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FFFFFF" w:fill="FFFFFF"/>
          </w:tcPr>
          <w:p>
            <w:pPr>
              <w:pStyle w:val="144"/>
              <w:spacing w:before="4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39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FFFFFF" w:fill="FFFFFF"/>
          </w:tcPr>
          <w:p>
            <w:pPr>
              <w:pStyle w:val="144"/>
              <w:spacing w:before="4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单位名称</w:t>
            </w:r>
          </w:p>
        </w:tc>
        <w:tc>
          <w:tcPr>
            <w:tcW w:w="22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FFFFFF" w:fill="FFFFFF"/>
          </w:tcPr>
          <w:p>
            <w:pPr>
              <w:pStyle w:val="144"/>
              <w:spacing w:before="40"/>
              <w:jc w:val="center"/>
              <w:rPr>
                <w:rFonts w:ascii="宋体" w:hAnsi="宋体" w:eastAsia="宋体" w:cs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lang w:eastAsia="zh-CN"/>
              </w:rPr>
              <w:t>单位性质</w:t>
            </w:r>
          </w:p>
        </w:tc>
        <w:tc>
          <w:tcPr>
            <w:tcW w:w="145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FFFFFF" w:fill="FFFFFF"/>
          </w:tcPr>
          <w:p>
            <w:pPr>
              <w:pStyle w:val="144"/>
              <w:spacing w:before="4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实有人数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exact"/>
          <w:jc w:val="center"/>
        </w:trPr>
        <w:tc>
          <w:tcPr>
            <w:tcW w:w="103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FFFFFF" w:fill="FFFFFF"/>
          </w:tcPr>
          <w:p>
            <w:pPr>
              <w:pStyle w:val="144"/>
              <w:spacing w:before="40"/>
              <w:ind w:left="460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391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FFFFFF" w:fill="FFFFFF"/>
          </w:tcPr>
          <w:p>
            <w:pPr>
              <w:pStyle w:val="144"/>
              <w:spacing w:before="40"/>
              <w:ind w:left="759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FFFFFF" w:fill="FFFFFF"/>
          </w:tcPr>
          <w:p>
            <w:pPr>
              <w:pStyle w:val="144"/>
              <w:spacing w:before="40"/>
              <w:ind w:left="759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FFFFFF" w:fill="FFFFFF"/>
          </w:tcPr>
          <w:p>
            <w:pPr>
              <w:pStyle w:val="144"/>
              <w:spacing w:before="40"/>
              <w:ind w:left="601"/>
              <w:rPr>
                <w:rFonts w:ascii="宋体" w:hAnsi="宋体" w:eastAsia="宋体" w:cs="宋体"/>
                <w:b/>
                <w:bCs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</w:tcPr>
          <w:p>
            <w:pPr>
              <w:spacing w:before="40"/>
              <w:jc w:val="center"/>
            </w:pPr>
            <w:r>
              <w:rPr>
                <w:position w:val="-1"/>
                <w:sz w:val="20"/>
              </w:rPr>
              <w:t>1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</w:tcPr>
          <w:p>
            <w:pPr>
              <w:spacing w:before="40"/>
              <w:jc w:val="center"/>
            </w:pPr>
            <w:r>
              <w:rPr>
                <w:position w:val="-1"/>
                <w:sz w:val="20"/>
              </w:rPr>
              <w:t>宿州市萧县青龙镇中心学校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</w:tcPr>
          <w:p>
            <w:pPr>
              <w:spacing w:before="40"/>
              <w:jc w:val="center"/>
            </w:pPr>
            <w:r>
              <w:rPr>
                <w:position w:val="-1"/>
                <w:sz w:val="20"/>
              </w:rPr>
              <w:t>公益二类事业单位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</w:tcPr>
          <w:p>
            <w:pPr>
              <w:spacing w:before="40"/>
              <w:jc w:val="center"/>
            </w:pPr>
            <w:r>
              <w:rPr>
                <w:position w:val="-1"/>
                <w:sz w:val="20"/>
              </w:rPr>
              <w:t>138</w:t>
            </w:r>
          </w:p>
        </w:tc>
      </w:tr>
    </w:tbl>
    <w:p/>
    <w:p/>
    <w:p>
      <w:pPr>
        <w:pStyle w:val="110"/>
        <w:spacing w:line="580" w:lineRule="exact"/>
        <w:ind w:firstLine="640"/>
        <w:jc w:val="both"/>
        <w:rPr>
          <w:rFonts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报表包含的主体范围主要反映报表编制主体的基本情况，包括所属单位的名称、性质（如：行政单位、事业单位或社会团体）、实有人数等基本信息。</w:t>
      </w:r>
    </w:p>
    <w:p>
      <w:pPr>
        <w:pStyle w:val="4"/>
        <w:spacing w:before="0" w:after="0" w:line="360" w:lineRule="auto"/>
        <w:ind w:firstLine="602"/>
        <w:jc w:val="left"/>
        <w:rPr>
          <w:rFonts w:ascii="仿宋" w:hAnsi="仿宋" w:eastAsia="仿宋"/>
          <w:b/>
        </w:rPr>
      </w:pPr>
      <w:bookmarkStart w:id="56" w:name="4.重要会计政策与会计估计变更情况。（略）"/>
      <w:bookmarkEnd w:id="56"/>
      <w:bookmarkStart w:id="57" w:name="_Toc35452584"/>
      <w:bookmarkStart w:id="58" w:name="_Toc35500810"/>
      <w:r>
        <w:rPr>
          <w:rFonts w:ascii="仿宋" w:hAnsi="仿宋" w:eastAsia="仿宋"/>
          <w:b/>
        </w:rPr>
        <w:t>4.重要会计政策与会计估计变更情况。</w:t>
      </w:r>
      <w:bookmarkEnd w:id="57"/>
      <w:bookmarkEnd w:id="58"/>
    </w:p>
    <w:p>
      <w:pPr>
        <w:pStyle w:val="110"/>
        <w:spacing w:line="580" w:lineRule="exact"/>
        <w:ind w:firstLine="640"/>
        <w:rPr>
          <w:rFonts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对本年发生的重要会计政策和会计估计变更，应说明变更的内容和原因，受其重要影响的报表项目和金额，以及重要会计政策和会计估计变更开始适用的时点。</w:t>
      </w:r>
    </w:p>
    <w:p/>
    <w:p>
      <w:pPr>
        <w:rPr>
          <w:rFonts w:ascii="Microsoft JhengHei" w:hAnsi="Microsoft JhengHei" w:eastAsia="Microsoft JhengHei" w:cs="Microsoft JhengHei"/>
          <w:sz w:val="30"/>
          <w:szCs w:val="30"/>
        </w:rPr>
        <w:sectPr>
          <w:footerReference r:id="rId9" w:type="default"/>
          <w:pgSz w:w="11910" w:h="16840"/>
          <w:pgMar w:top="1260" w:right="1680" w:bottom="1200" w:left="1680" w:header="0" w:footer="981" w:gutter="0"/>
          <w:pgNumType w:start="1"/>
          <w:cols w:space="720" w:num="1"/>
        </w:sectPr>
      </w:pPr>
    </w:p>
    <w:bookmarkEnd w:id="46"/>
    <w:p>
      <w:pPr>
        <w:pStyle w:val="4"/>
        <w:spacing w:before="0" w:after="0" w:line="360" w:lineRule="auto"/>
        <w:ind w:firstLine="602"/>
        <w:jc w:val="left"/>
        <w:rPr>
          <w:rFonts w:ascii="仿宋" w:hAnsi="仿宋" w:eastAsia="仿宋"/>
          <w:b/>
        </w:rPr>
      </w:pPr>
      <w:bookmarkStart w:id="59" w:name="_Toc333610277"/>
      <w:bookmarkStart w:id="60" w:name="_Toc35452585"/>
      <w:bookmarkStart w:id="61" w:name="_Toc435362498"/>
      <w:bookmarkStart w:id="62" w:name="_Toc435362300"/>
      <w:bookmarkStart w:id="63" w:name="_Toc435361955"/>
      <w:bookmarkStart w:id="64" w:name="_Toc35500811"/>
      <w:bookmarkStart w:id="65" w:name="_Toc435362073"/>
      <w:r>
        <w:rPr>
          <w:rFonts w:hint="eastAsia" w:ascii="仿宋" w:hAnsi="仿宋" w:eastAsia="仿宋"/>
          <w:b/>
        </w:rPr>
        <w:t>5.会计报表重要项目的明细信息</w:t>
      </w:r>
      <w:bookmarkEnd w:id="59"/>
      <w:r>
        <w:rPr>
          <w:rFonts w:hint="eastAsia" w:ascii="仿宋" w:hAnsi="仿宋" w:eastAsia="仿宋"/>
          <w:b/>
        </w:rPr>
        <w:t>及说明</w:t>
      </w:r>
      <w:bookmarkEnd w:id="60"/>
      <w:bookmarkEnd w:id="61"/>
      <w:bookmarkEnd w:id="62"/>
      <w:bookmarkEnd w:id="63"/>
      <w:bookmarkEnd w:id="64"/>
      <w:bookmarkEnd w:id="65"/>
      <w:r>
        <w:rPr>
          <w:rFonts w:ascii="仿宋" w:hAnsi="仿宋" w:eastAsia="仿宋"/>
          <w:b/>
        </w:rPr>
        <w:tab/>
      </w:r>
    </w:p>
    <w:p>
      <w:pPr>
        <w:pStyle w:val="110"/>
        <w:spacing w:before="240" w:after="240"/>
        <w:ind w:firstLine="643"/>
        <w:outlineLvl w:val="3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</w:t>
      </w:r>
      <w:r>
        <w:rPr>
          <w:rFonts w:ascii="仿宋" w:hAnsi="仿宋" w:eastAsia="仿宋"/>
          <w:b/>
          <w:sz w:val="32"/>
          <w:szCs w:val="32"/>
        </w:rPr>
        <w:t>1</w:t>
      </w:r>
      <w:r>
        <w:rPr>
          <w:rFonts w:hint="eastAsia" w:ascii="仿宋" w:hAnsi="仿宋" w:eastAsia="仿宋"/>
          <w:b/>
          <w:sz w:val="32"/>
          <w:szCs w:val="32"/>
        </w:rPr>
        <w:t>）货币资金明细信息如下：</w:t>
      </w:r>
    </w:p>
    <w:tbl>
      <w:tblPr>
        <w:tblStyle w:val="3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附表1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货币资金明细表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单位：万元</w:t>
            </w:r>
          </w:p>
        </w:tc>
      </w:tr>
    </w:tbl>
    <w:p>
      <w:pPr>
        <w:snapToGrid w:val="0"/>
        <w:spacing w:line="20" w:lineRule="exact"/>
        <w:jc w:val="right"/>
        <w:rPr>
          <w:rFonts w:ascii="Arial" w:hAnsi="Arial" w:cs="Arial"/>
          <w:sz w:val="20"/>
          <w:szCs w:val="20"/>
        </w:rPr>
      </w:pPr>
      <w:bookmarkStart w:id="66" w:name="RANGE!A1:D9"/>
      <w:bookmarkEnd w:id="66"/>
    </w:p>
    <w:tbl>
      <w:tblPr>
        <w:tblStyle w:val="34"/>
        <w:tblW w:w="5000" w:type="pct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95"/>
        <w:gridCol w:w="2625"/>
        <w:gridCol w:w="2608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932" w:type="pct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项目</w:t>
            </w:r>
          </w:p>
        </w:tc>
        <w:tc>
          <w:tcPr>
            <w:tcW w:w="1539" w:type="pct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年末数</w:t>
            </w:r>
          </w:p>
        </w:tc>
        <w:tc>
          <w:tcPr>
            <w:tcW w:w="1529" w:type="pct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年初数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exact"/>
          <w:tblHeader/>
          <w:jc w:val="center"/>
        </w:trPr>
        <w:tc>
          <w:tcPr>
            <w:tcW w:w="1932" w:type="pct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39" w:type="pct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29" w:type="pct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exact"/>
          <w:tblHeader/>
          <w:jc w:val="center"/>
        </w:trPr>
        <w:tc>
          <w:tcPr>
            <w:tcW w:w="1932" w:type="pct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39" w:type="pct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29" w:type="pct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32" w:type="dxa"/>
            <w:shd w:val="clear" w:color="FFFFFF" w:fill="FFFFFF"/>
            <w:vAlign w:val="center"/>
          </w:tcPr>
          <w:p>
            <w:pPr>
              <w:ind w:firstLine="100" w:firstLineChars="50"/>
            </w:pPr>
            <w:r>
              <w:rPr>
                <w:position w:val="-1"/>
                <w:sz w:val="20"/>
              </w:rPr>
              <w:t xml:space="preserve">  库存现金</w:t>
            </w:r>
          </w:p>
        </w:tc>
        <w:tc>
          <w:tcPr>
            <w:tcW w:w="1539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1529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32" w:type="dxa"/>
            <w:shd w:val="clear" w:color="FFFFFF" w:fill="FFFFFF"/>
            <w:vAlign w:val="center"/>
          </w:tcPr>
          <w:p>
            <w:pPr>
              <w:ind w:firstLine="100" w:firstLineChars="50"/>
            </w:pPr>
            <w:r>
              <w:rPr>
                <w:position w:val="-1"/>
                <w:sz w:val="20"/>
              </w:rPr>
              <w:t xml:space="preserve">  银行存款</w:t>
            </w:r>
          </w:p>
        </w:tc>
        <w:tc>
          <w:tcPr>
            <w:tcW w:w="1539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11.23</w:t>
            </w:r>
          </w:p>
        </w:tc>
        <w:tc>
          <w:tcPr>
            <w:tcW w:w="1529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18.84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32" w:type="dxa"/>
            <w:shd w:val="clear" w:color="FFFFFF" w:fill="FFFFFF"/>
            <w:vAlign w:val="center"/>
          </w:tcPr>
          <w:p>
            <w:pPr>
              <w:ind w:firstLine="100" w:firstLineChars="50"/>
            </w:pPr>
            <w:r>
              <w:rPr>
                <w:position w:val="-1"/>
                <w:sz w:val="20"/>
              </w:rPr>
              <w:t xml:space="preserve">  其他货币资金</w:t>
            </w:r>
          </w:p>
        </w:tc>
        <w:tc>
          <w:tcPr>
            <w:tcW w:w="1539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1529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932" w:type="dxa"/>
            <w:tcBorders>
              <w:top w:val="single" w:color="auto" w:sz="4" w:space="0"/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ind w:firstLine="100" w:firstLineChars="50"/>
              <w:jc w:val="center"/>
            </w:pPr>
            <w:r>
              <w:rPr>
                <w:b/>
                <w:position w:val="-1"/>
                <w:sz w:val="20"/>
              </w:rPr>
              <w:t>合计</w:t>
            </w:r>
          </w:p>
        </w:tc>
        <w:tc>
          <w:tcPr>
            <w:tcW w:w="1539" w:type="dxa"/>
            <w:tcBorders>
              <w:top w:val="single" w:color="auto" w:sz="4" w:space="0"/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11.23</w:t>
            </w:r>
          </w:p>
        </w:tc>
        <w:tc>
          <w:tcPr>
            <w:tcW w:w="1529" w:type="dxa"/>
            <w:tcBorders>
              <w:top w:val="single" w:color="auto" w:sz="4" w:space="0"/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18.84</w:t>
            </w:r>
          </w:p>
        </w:tc>
      </w:tr>
    </w:tbl>
    <w:p/>
    <w:p>
      <w:pPr>
        <w:pStyle w:val="110"/>
        <w:spacing w:before="240" w:after="240"/>
        <w:ind w:firstLine="643"/>
        <w:outlineLvl w:val="3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</w:t>
      </w:r>
      <w:r>
        <w:rPr>
          <w:rFonts w:ascii="仿宋" w:hAnsi="仿宋" w:eastAsia="仿宋"/>
          <w:b/>
          <w:sz w:val="32"/>
          <w:szCs w:val="32"/>
        </w:rPr>
        <w:t>2</w:t>
      </w:r>
      <w:r>
        <w:rPr>
          <w:rFonts w:hint="eastAsia" w:ascii="仿宋" w:hAnsi="仿宋" w:eastAsia="仿宋"/>
          <w:b/>
          <w:sz w:val="32"/>
          <w:szCs w:val="32"/>
        </w:rPr>
        <w:t>）应收账款净额明细信息如下：</w:t>
      </w:r>
    </w:p>
    <w:tbl>
      <w:tblPr>
        <w:tblStyle w:val="3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附表2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</w:rPr>
              <w:t>附表2为空表（略）</w:t>
            </w:r>
          </w:p>
        </w:tc>
      </w:tr>
    </w:tbl>
    <w:p>
      <w:pPr>
        <w:spacing w:line="20" w:lineRule="exact"/>
        <w:jc w:val="right"/>
        <w:rPr>
          <w:sz w:val="20"/>
          <w:szCs w:val="20"/>
        </w:rPr>
      </w:pPr>
    </w:p>
    <w:p>
      <w:pPr>
        <w:pStyle w:val="144"/>
        <w:rPr>
          <w:lang w:eastAsia="zh-CN"/>
        </w:rPr>
      </w:pPr>
    </w:p>
    <w:p>
      <w:pPr>
        <w:pStyle w:val="144"/>
        <w:rPr>
          <w:rFonts w:ascii="宋体" w:hAnsi="宋体" w:eastAsia="宋体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 w:ascii="宋体" w:hAnsi="宋体" w:eastAsia="宋体" w:cs="宋体"/>
          <w:spacing w:val="-1"/>
          <w:sz w:val="20"/>
          <w:szCs w:val="20"/>
          <w:lang w:eastAsia="zh-CN"/>
        </w:rPr>
        <w:t>注：当期坏账准备冲</w:t>
      </w:r>
      <w:r>
        <w:rPr>
          <w:rFonts w:ascii="宋体" w:hAnsi="宋体" w:eastAsia="宋体" w:cs="宋体"/>
          <w:spacing w:val="-1"/>
          <w:sz w:val="20"/>
          <w:szCs w:val="20"/>
          <w:lang w:eastAsia="zh-CN"/>
        </w:rPr>
        <w:t>减数以“-”号填列。</w:t>
      </w:r>
    </w:p>
    <w:p>
      <w:pPr>
        <w:pStyle w:val="110"/>
        <w:spacing w:before="240" w:after="240"/>
        <w:ind w:firstLine="643"/>
        <w:outlineLvl w:val="3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</w:t>
      </w:r>
      <w:r>
        <w:rPr>
          <w:rFonts w:ascii="仿宋" w:hAnsi="仿宋" w:eastAsia="仿宋"/>
          <w:b/>
          <w:sz w:val="32"/>
          <w:szCs w:val="32"/>
        </w:rPr>
        <w:t>3</w:t>
      </w:r>
      <w:r>
        <w:rPr>
          <w:rFonts w:hint="eastAsia" w:ascii="仿宋" w:hAnsi="仿宋" w:eastAsia="仿宋"/>
          <w:b/>
          <w:sz w:val="32"/>
          <w:szCs w:val="32"/>
        </w:rPr>
        <w:t>）预付账款明细信息如下：</w:t>
      </w:r>
    </w:p>
    <w:tbl>
      <w:tblPr>
        <w:tblStyle w:val="3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附表3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</w:rPr>
              <w:t>附表3为空表（略）</w:t>
            </w:r>
          </w:p>
        </w:tc>
      </w:tr>
    </w:tbl>
    <w:p>
      <w:pPr>
        <w:spacing w:line="20" w:lineRule="exact"/>
        <w:jc w:val="right"/>
        <w:rPr>
          <w:sz w:val="20"/>
          <w:szCs w:val="20"/>
        </w:rPr>
      </w:pPr>
    </w:p>
    <w:p>
      <w:pPr>
        <w:rPr>
          <w:sz w:val="22"/>
          <w:szCs w:val="22"/>
        </w:rPr>
      </w:pPr>
    </w:p>
    <w:p>
      <w:pPr>
        <w:rPr>
          <w:sz w:val="22"/>
          <w:szCs w:val="22"/>
        </w:rPr>
      </w:pPr>
    </w:p>
    <w:p>
      <w:pPr>
        <w:rPr>
          <w:sz w:val="22"/>
          <w:szCs w:val="22"/>
        </w:rPr>
      </w:pPr>
    </w:p>
    <w:p>
      <w:pPr>
        <w:rPr>
          <w:sz w:val="22"/>
          <w:szCs w:val="22"/>
        </w:rPr>
      </w:pPr>
    </w:p>
    <w:p>
      <w:pPr>
        <w:rPr>
          <w:sz w:val="22"/>
          <w:szCs w:val="22"/>
        </w:rPr>
      </w:pPr>
    </w:p>
    <w:p>
      <w:pPr>
        <w:rPr>
          <w:sz w:val="22"/>
          <w:szCs w:val="22"/>
        </w:rPr>
      </w:pPr>
    </w:p>
    <w:p>
      <w:pPr>
        <w:rPr>
          <w:sz w:val="22"/>
          <w:szCs w:val="22"/>
        </w:rPr>
      </w:pPr>
    </w:p>
    <w:p>
      <w:pPr>
        <w:rPr>
          <w:sz w:val="22"/>
          <w:szCs w:val="22"/>
        </w:rPr>
      </w:pPr>
    </w:p>
    <w:p>
      <w:pPr>
        <w:rPr>
          <w:sz w:val="22"/>
          <w:szCs w:val="22"/>
        </w:rPr>
      </w:pPr>
    </w:p>
    <w:p>
      <w:pPr>
        <w:pStyle w:val="110"/>
        <w:spacing w:before="240" w:after="240"/>
        <w:ind w:firstLine="643"/>
        <w:outlineLvl w:val="3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</w:t>
      </w:r>
      <w:r>
        <w:rPr>
          <w:rFonts w:ascii="仿宋" w:hAnsi="仿宋" w:eastAsia="仿宋"/>
          <w:b/>
          <w:sz w:val="32"/>
          <w:szCs w:val="32"/>
        </w:rPr>
        <w:t>4</w:t>
      </w:r>
      <w:r>
        <w:rPr>
          <w:rFonts w:hint="eastAsia" w:ascii="仿宋" w:hAnsi="仿宋" w:eastAsia="仿宋"/>
          <w:b/>
          <w:sz w:val="32"/>
          <w:szCs w:val="32"/>
        </w:rPr>
        <w:t>）其他应收款净额明细信息如下：</w:t>
      </w:r>
    </w:p>
    <w:tbl>
      <w:tblPr>
        <w:tblStyle w:val="3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附表4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</w:rPr>
              <w:t>附表4为空表（略）</w:t>
            </w:r>
          </w:p>
        </w:tc>
      </w:tr>
    </w:tbl>
    <w:p>
      <w:pPr>
        <w:spacing w:line="20" w:lineRule="exact"/>
        <w:ind w:right="800"/>
        <w:rPr>
          <w:sz w:val="20"/>
          <w:szCs w:val="20"/>
        </w:rPr>
      </w:pPr>
    </w:p>
    <w:p>
      <w:pPr>
        <w:pStyle w:val="144"/>
        <w:ind w:firstLine="396" w:firstLineChars="200"/>
        <w:rPr>
          <w:rFonts w:ascii="宋体" w:hAnsi="宋体" w:eastAsia="宋体"/>
          <w:lang w:eastAsia="zh-CN"/>
        </w:rPr>
      </w:pPr>
      <w:r>
        <w:rPr>
          <w:rFonts w:hint="eastAsia" w:ascii="宋体" w:hAnsi="宋体" w:eastAsia="宋体" w:cs="宋体"/>
          <w:spacing w:val="-1"/>
          <w:sz w:val="20"/>
          <w:szCs w:val="20"/>
          <w:lang w:eastAsia="zh-CN"/>
        </w:rPr>
        <w:t>注：当期坏账准备冲</w:t>
      </w:r>
      <w:r>
        <w:rPr>
          <w:rFonts w:ascii="宋体" w:hAnsi="宋体" w:eastAsia="宋体" w:cs="宋体"/>
          <w:spacing w:val="-1"/>
          <w:sz w:val="20"/>
          <w:szCs w:val="20"/>
          <w:lang w:eastAsia="zh-CN"/>
        </w:rPr>
        <w:t>减数以“-”号填列。</w:t>
      </w:r>
    </w:p>
    <w:p>
      <w:pPr>
        <w:pStyle w:val="110"/>
        <w:ind w:firstLine="600"/>
        <w:outlineLvl w:val="4"/>
        <w:sectPr>
          <w:pgSz w:w="11906" w:h="16838"/>
          <w:pgMar w:top="1440" w:right="1797" w:bottom="1440" w:left="1797" w:header="851" w:footer="992" w:gutter="0"/>
          <w:cols w:space="425" w:num="1"/>
          <w:docGrid w:type="lines" w:linePitch="326" w:charSpace="0"/>
        </w:sectPr>
      </w:pPr>
    </w:p>
    <w:p>
      <w:pPr>
        <w:pStyle w:val="110"/>
        <w:spacing w:before="240" w:after="240"/>
        <w:ind w:firstLine="643"/>
        <w:outlineLvl w:val="3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</w:t>
      </w:r>
      <w:r>
        <w:rPr>
          <w:rFonts w:ascii="仿宋" w:hAnsi="仿宋" w:eastAsia="仿宋"/>
          <w:b/>
          <w:sz w:val="32"/>
          <w:szCs w:val="32"/>
        </w:rPr>
        <w:t>5</w:t>
      </w:r>
      <w:r>
        <w:rPr>
          <w:rFonts w:hint="eastAsia" w:ascii="仿宋" w:hAnsi="仿宋" w:eastAsia="仿宋"/>
          <w:b/>
          <w:sz w:val="32"/>
          <w:szCs w:val="32"/>
        </w:rPr>
        <w:t>）长期投资及投资收益明细信息如下：</w:t>
      </w:r>
    </w:p>
    <w:tbl>
      <w:tblPr>
        <w:tblStyle w:val="3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附表5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</w:rPr>
              <w:t>附表5为空表（略）</w:t>
            </w:r>
          </w:p>
        </w:tc>
      </w:tr>
    </w:tbl>
    <w:p>
      <w:pPr>
        <w:spacing w:line="20" w:lineRule="exact"/>
        <w:jc w:val="right"/>
        <w:rPr>
          <w:b/>
          <w:bCs/>
          <w:sz w:val="20"/>
          <w:szCs w:val="20"/>
        </w:rPr>
      </w:pPr>
    </w:p>
    <w:p>
      <w:pPr>
        <w:rPr>
          <w:sz w:val="22"/>
          <w:szCs w:val="22"/>
        </w:rPr>
      </w:pPr>
    </w:p>
    <w:p>
      <w:pPr>
        <w:pStyle w:val="110"/>
        <w:ind w:firstLine="600"/>
      </w:pPr>
    </w:p>
    <w:p>
      <w:pPr>
        <w:pStyle w:val="110"/>
        <w:ind w:firstLine="600"/>
        <w:jc w:val="right"/>
        <w:outlineLvl w:val="4"/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" w:linePitch="326" w:charSpace="0"/>
        </w:sectPr>
      </w:pPr>
    </w:p>
    <w:p/>
    <w:p>
      <w:pPr>
        <w:pStyle w:val="110"/>
        <w:spacing w:before="240" w:after="240"/>
        <w:ind w:firstLine="643"/>
        <w:outlineLvl w:val="3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</w:t>
      </w:r>
      <w:r>
        <w:rPr>
          <w:rFonts w:ascii="仿宋" w:hAnsi="仿宋" w:eastAsia="仿宋"/>
          <w:b/>
          <w:sz w:val="32"/>
          <w:szCs w:val="32"/>
        </w:rPr>
        <w:t>6</w:t>
      </w:r>
      <w:r>
        <w:rPr>
          <w:rFonts w:hint="eastAsia" w:ascii="仿宋" w:hAnsi="仿宋" w:eastAsia="仿宋"/>
          <w:b/>
          <w:sz w:val="32"/>
          <w:szCs w:val="32"/>
        </w:rPr>
        <w:t>）固定资产明细信息如下：</w:t>
      </w:r>
    </w:p>
    <w:tbl>
      <w:tblPr>
        <w:tblStyle w:val="3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附表6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固定资产明细表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单位：万元</w:t>
            </w:r>
          </w:p>
        </w:tc>
      </w:tr>
    </w:tbl>
    <w:p>
      <w:pPr>
        <w:spacing w:line="20" w:lineRule="exact"/>
        <w:jc w:val="right"/>
        <w:rPr>
          <w:sz w:val="20"/>
          <w:szCs w:val="20"/>
        </w:rPr>
      </w:pPr>
    </w:p>
    <w:tbl>
      <w:tblPr>
        <w:tblStyle w:val="34"/>
        <w:tblW w:w="5000" w:type="pct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7"/>
        <w:gridCol w:w="1694"/>
        <w:gridCol w:w="1035"/>
        <w:gridCol w:w="1085"/>
        <w:gridCol w:w="1567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845" w:type="pct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项目</w:t>
            </w:r>
          </w:p>
        </w:tc>
        <w:tc>
          <w:tcPr>
            <w:tcW w:w="993" w:type="pct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年初数</w:t>
            </w:r>
          </w:p>
        </w:tc>
        <w:tc>
          <w:tcPr>
            <w:tcW w:w="607" w:type="pct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本年增加</w:t>
            </w:r>
          </w:p>
        </w:tc>
        <w:tc>
          <w:tcPr>
            <w:tcW w:w="636" w:type="pct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本年减少</w:t>
            </w:r>
          </w:p>
        </w:tc>
        <w:tc>
          <w:tcPr>
            <w:tcW w:w="919" w:type="pct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年末数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exact"/>
          <w:tblHeader/>
          <w:jc w:val="center"/>
        </w:trPr>
        <w:tc>
          <w:tcPr>
            <w:tcW w:w="1845" w:type="pct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3" w:type="pct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07" w:type="pct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36" w:type="pct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19" w:type="pct"/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5" w:type="dxa"/>
            <w:shd w:val="clear" w:color="FFFFFF" w:fill="FFFFFF"/>
            <w:vAlign w:val="center"/>
          </w:tcPr>
          <w:p>
            <w:r>
              <w:rPr>
                <w:b/>
                <w:position w:val="-1"/>
                <w:sz w:val="20"/>
              </w:rPr>
              <w:t>原值合计</w:t>
            </w:r>
          </w:p>
        </w:tc>
        <w:tc>
          <w:tcPr>
            <w:tcW w:w="993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1,229.28</w:t>
            </w:r>
          </w:p>
        </w:tc>
        <w:tc>
          <w:tcPr>
            <w:tcW w:w="607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636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36.33</w:t>
            </w:r>
          </w:p>
        </w:tc>
        <w:tc>
          <w:tcPr>
            <w:tcW w:w="919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1,192.95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5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房屋及构筑物</w:t>
            </w:r>
          </w:p>
        </w:tc>
        <w:tc>
          <w:tcPr>
            <w:tcW w:w="993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1,062.31</w:t>
            </w:r>
          </w:p>
        </w:tc>
        <w:tc>
          <w:tcPr>
            <w:tcW w:w="607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636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23.82</w:t>
            </w:r>
          </w:p>
        </w:tc>
        <w:tc>
          <w:tcPr>
            <w:tcW w:w="919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1,038.49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5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通用设备</w:t>
            </w:r>
          </w:p>
        </w:tc>
        <w:tc>
          <w:tcPr>
            <w:tcW w:w="993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79.97</w:t>
            </w:r>
          </w:p>
        </w:tc>
        <w:tc>
          <w:tcPr>
            <w:tcW w:w="607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636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12.51</w:t>
            </w:r>
          </w:p>
        </w:tc>
        <w:tc>
          <w:tcPr>
            <w:tcW w:w="919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67.46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5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专用设备</w:t>
            </w:r>
          </w:p>
        </w:tc>
        <w:tc>
          <w:tcPr>
            <w:tcW w:w="993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32.00</w:t>
            </w:r>
          </w:p>
        </w:tc>
        <w:tc>
          <w:tcPr>
            <w:tcW w:w="607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636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919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32.00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5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文物和陈列品</w:t>
            </w:r>
          </w:p>
        </w:tc>
        <w:tc>
          <w:tcPr>
            <w:tcW w:w="993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607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636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919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5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图书、档案</w:t>
            </w:r>
          </w:p>
        </w:tc>
        <w:tc>
          <w:tcPr>
            <w:tcW w:w="993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16.97</w:t>
            </w:r>
          </w:p>
        </w:tc>
        <w:tc>
          <w:tcPr>
            <w:tcW w:w="607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636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919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16.97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5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家具、用具、装具及动植物</w:t>
            </w:r>
          </w:p>
        </w:tc>
        <w:tc>
          <w:tcPr>
            <w:tcW w:w="993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38.03</w:t>
            </w:r>
          </w:p>
        </w:tc>
        <w:tc>
          <w:tcPr>
            <w:tcW w:w="607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636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919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38.03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845" w:type="dxa"/>
            <w:tcBorders>
              <w:top w:val="single" w:color="auto" w:sz="4" w:space="0"/>
            </w:tcBorders>
            <w:shd w:val="clear" w:color="FFFFFF" w:fill="FFFFFF"/>
            <w:vAlign w:val="center"/>
          </w:tcPr>
          <w:p>
            <w:r>
              <w:rPr>
                <w:b/>
                <w:position w:val="-1"/>
                <w:sz w:val="20"/>
              </w:rPr>
              <w:t>累计折旧合计</w:t>
            </w:r>
          </w:p>
        </w:tc>
        <w:tc>
          <w:tcPr>
            <w:tcW w:w="993" w:type="dxa"/>
            <w:tcBorders>
              <w:top w:val="single" w:color="auto" w:sz="4" w:space="0"/>
            </w:tcBorders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16.98</w:t>
            </w:r>
          </w:p>
        </w:tc>
        <w:tc>
          <w:tcPr>
            <w:tcW w:w="607" w:type="dxa"/>
            <w:tcBorders>
              <w:top w:val="single" w:color="auto" w:sz="4" w:space="0"/>
            </w:tcBorders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2.49</w:t>
            </w:r>
          </w:p>
        </w:tc>
        <w:tc>
          <w:tcPr>
            <w:tcW w:w="636" w:type="dxa"/>
            <w:tcBorders>
              <w:top w:val="single" w:color="auto" w:sz="4" w:space="0"/>
            </w:tcBorders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919" w:type="dxa"/>
            <w:tcBorders>
              <w:top w:val="single" w:color="auto" w:sz="4" w:space="0"/>
            </w:tcBorders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19.47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5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房屋及构筑物</w:t>
            </w:r>
          </w:p>
        </w:tc>
        <w:tc>
          <w:tcPr>
            <w:tcW w:w="993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11.99</w:t>
            </w:r>
          </w:p>
        </w:tc>
        <w:tc>
          <w:tcPr>
            <w:tcW w:w="607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1.98</w:t>
            </w:r>
          </w:p>
        </w:tc>
        <w:tc>
          <w:tcPr>
            <w:tcW w:w="636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919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13.97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5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通用设备</w:t>
            </w:r>
          </w:p>
        </w:tc>
        <w:tc>
          <w:tcPr>
            <w:tcW w:w="993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0.87</w:t>
            </w:r>
          </w:p>
        </w:tc>
        <w:tc>
          <w:tcPr>
            <w:tcW w:w="607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0.14</w:t>
            </w:r>
          </w:p>
        </w:tc>
        <w:tc>
          <w:tcPr>
            <w:tcW w:w="636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919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1.01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5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专用设备</w:t>
            </w:r>
          </w:p>
        </w:tc>
        <w:tc>
          <w:tcPr>
            <w:tcW w:w="993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3.36</w:t>
            </w:r>
          </w:p>
        </w:tc>
        <w:tc>
          <w:tcPr>
            <w:tcW w:w="607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0.30</w:t>
            </w:r>
          </w:p>
        </w:tc>
        <w:tc>
          <w:tcPr>
            <w:tcW w:w="636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919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3.66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5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文物和陈列品</w:t>
            </w:r>
          </w:p>
        </w:tc>
        <w:tc>
          <w:tcPr>
            <w:tcW w:w="993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607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636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919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5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图书、档案</w:t>
            </w:r>
          </w:p>
        </w:tc>
        <w:tc>
          <w:tcPr>
            <w:tcW w:w="993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607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636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919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5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家具、用具、装具及动植物</w:t>
            </w:r>
          </w:p>
        </w:tc>
        <w:tc>
          <w:tcPr>
            <w:tcW w:w="993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0.76</w:t>
            </w:r>
          </w:p>
        </w:tc>
        <w:tc>
          <w:tcPr>
            <w:tcW w:w="607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0.07</w:t>
            </w:r>
          </w:p>
        </w:tc>
        <w:tc>
          <w:tcPr>
            <w:tcW w:w="636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919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0.83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845" w:type="dxa"/>
            <w:tcBorders>
              <w:top w:val="single" w:color="auto" w:sz="4" w:space="0"/>
            </w:tcBorders>
            <w:shd w:val="clear" w:color="FFFFFF" w:fill="FFFFFF"/>
            <w:vAlign w:val="center"/>
          </w:tcPr>
          <w:p>
            <w:r>
              <w:rPr>
                <w:b/>
                <w:position w:val="-1"/>
                <w:sz w:val="20"/>
              </w:rPr>
              <w:t>净值合计</w:t>
            </w:r>
          </w:p>
        </w:tc>
        <w:tc>
          <w:tcPr>
            <w:tcW w:w="993" w:type="dxa"/>
            <w:tcBorders>
              <w:top w:val="single" w:color="auto" w:sz="4" w:space="0"/>
            </w:tcBorders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1,212.30</w:t>
            </w:r>
          </w:p>
        </w:tc>
        <w:tc>
          <w:tcPr>
            <w:tcW w:w="607" w:type="dxa"/>
            <w:tcBorders>
              <w:top w:val="single" w:color="auto" w:sz="4" w:space="0"/>
            </w:tcBorders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636" w:type="dxa"/>
            <w:tcBorders>
              <w:top w:val="single" w:color="auto" w:sz="4" w:space="0"/>
            </w:tcBorders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38.82</w:t>
            </w:r>
          </w:p>
        </w:tc>
        <w:tc>
          <w:tcPr>
            <w:tcW w:w="919" w:type="dxa"/>
            <w:tcBorders>
              <w:top w:val="single" w:color="auto" w:sz="4" w:space="0"/>
            </w:tcBorders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1,173.48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5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房屋及构筑物</w:t>
            </w:r>
          </w:p>
        </w:tc>
        <w:tc>
          <w:tcPr>
            <w:tcW w:w="993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1,050.32</w:t>
            </w:r>
          </w:p>
        </w:tc>
        <w:tc>
          <w:tcPr>
            <w:tcW w:w="607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636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25.80</w:t>
            </w:r>
          </w:p>
        </w:tc>
        <w:tc>
          <w:tcPr>
            <w:tcW w:w="919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1,024.52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5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通用设备</w:t>
            </w:r>
          </w:p>
        </w:tc>
        <w:tc>
          <w:tcPr>
            <w:tcW w:w="993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79.10</w:t>
            </w:r>
          </w:p>
        </w:tc>
        <w:tc>
          <w:tcPr>
            <w:tcW w:w="607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636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12.65</w:t>
            </w:r>
          </w:p>
        </w:tc>
        <w:tc>
          <w:tcPr>
            <w:tcW w:w="919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66.45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5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专用设备</w:t>
            </w:r>
          </w:p>
        </w:tc>
        <w:tc>
          <w:tcPr>
            <w:tcW w:w="993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28.64</w:t>
            </w:r>
          </w:p>
        </w:tc>
        <w:tc>
          <w:tcPr>
            <w:tcW w:w="607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636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0.30</w:t>
            </w:r>
          </w:p>
        </w:tc>
        <w:tc>
          <w:tcPr>
            <w:tcW w:w="919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28.34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5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文物和陈列品</w:t>
            </w:r>
          </w:p>
        </w:tc>
        <w:tc>
          <w:tcPr>
            <w:tcW w:w="993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607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636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919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5" w:type="dxa"/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图书、档案</w:t>
            </w:r>
          </w:p>
        </w:tc>
        <w:tc>
          <w:tcPr>
            <w:tcW w:w="993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16.97</w:t>
            </w:r>
          </w:p>
        </w:tc>
        <w:tc>
          <w:tcPr>
            <w:tcW w:w="607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636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919" w:type="dxa"/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16.97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845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r>
              <w:rPr>
                <w:position w:val="-1"/>
                <w:sz w:val="20"/>
              </w:rPr>
              <w:t xml:space="preserve">  家具、用具、装具及动植物</w:t>
            </w:r>
          </w:p>
        </w:tc>
        <w:tc>
          <w:tcPr>
            <w:tcW w:w="993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37.27</w:t>
            </w:r>
          </w:p>
        </w:tc>
        <w:tc>
          <w:tcPr>
            <w:tcW w:w="607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0.00</w:t>
            </w:r>
          </w:p>
        </w:tc>
        <w:tc>
          <w:tcPr>
            <w:tcW w:w="636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0.07</w:t>
            </w:r>
          </w:p>
        </w:tc>
        <w:tc>
          <w:tcPr>
            <w:tcW w:w="919" w:type="dxa"/>
            <w:tcBorders>
              <w:bottom w:val="single" w:color="auto" w:sz="4" w:space="0"/>
            </w:tcBorders>
            <w:shd w:val="clear" w:color="FFFFFF" w:fill="FFFFFF"/>
            <w:vAlign w:val="center"/>
          </w:tcPr>
          <w:p>
            <w:pPr>
              <w:jc w:val="right"/>
            </w:pPr>
            <w:r>
              <w:rPr>
                <w:rFonts w:cs="Arial"/>
                <w:position w:val="-1"/>
                <w:sz w:val="20"/>
              </w:rPr>
              <w:t>37.20</w:t>
            </w:r>
          </w:p>
        </w:tc>
      </w:tr>
    </w:tbl>
    <w:p/>
    <w:p>
      <w:pPr>
        <w:pStyle w:val="110"/>
        <w:spacing w:before="240" w:after="240"/>
        <w:ind w:firstLine="643"/>
        <w:outlineLvl w:val="3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（7）在建工程明细信息如下：</w:t>
      </w:r>
    </w:p>
    <w:tbl>
      <w:tblPr>
        <w:tblStyle w:val="3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附表7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</w:rPr>
              <w:t>附表7为空表（略）</w:t>
            </w:r>
          </w:p>
        </w:tc>
      </w:tr>
    </w:tbl>
    <w:p>
      <w:pPr>
        <w:spacing w:line="20" w:lineRule="exact"/>
        <w:jc w:val="right"/>
        <w:rPr>
          <w:sz w:val="20"/>
          <w:szCs w:val="20"/>
        </w:rPr>
      </w:pPr>
    </w:p>
    <w:p>
      <w:pPr>
        <w:rPr>
          <w:sz w:val="20"/>
          <w:szCs w:val="20"/>
        </w:rPr>
      </w:pPr>
    </w:p>
    <w:p>
      <w:pPr>
        <w:pStyle w:val="110"/>
        <w:spacing w:before="240" w:after="240"/>
        <w:ind w:firstLine="643"/>
        <w:outlineLvl w:val="3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（8）无形资产明细信息如下：</w:t>
      </w:r>
    </w:p>
    <w:tbl>
      <w:tblPr>
        <w:tblStyle w:val="3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附表8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</w:rPr>
              <w:t>附表8为空表（略）</w:t>
            </w:r>
          </w:p>
        </w:tc>
      </w:tr>
    </w:tbl>
    <w:p>
      <w:pPr>
        <w:spacing w:line="20" w:lineRule="exact"/>
        <w:jc w:val="right"/>
        <w:rPr>
          <w:sz w:val="20"/>
          <w:szCs w:val="20"/>
        </w:rPr>
      </w:pPr>
    </w:p>
    <w:p>
      <w:bookmarkStart w:id="67" w:name="RANGE!A1:D22"/>
      <w:bookmarkEnd w:id="67"/>
    </w:p>
    <w:p>
      <w:pPr>
        <w:pStyle w:val="110"/>
        <w:spacing w:before="240" w:after="240"/>
        <w:ind w:firstLine="643"/>
        <w:outlineLvl w:val="3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（9）公共基础设施明细信息如下：</w:t>
      </w:r>
    </w:p>
    <w:tbl>
      <w:tblPr>
        <w:tblStyle w:val="3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附表9</w:t>
            </w:r>
            <w:r>
              <w:rPr>
                <w:sz w:val="22"/>
                <w:szCs w:val="22"/>
              </w:rPr>
              <w:t>-1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</w:rPr>
              <w:t>附表9-1为空表（略）</w:t>
            </w:r>
          </w:p>
        </w:tc>
      </w:tr>
    </w:tbl>
    <w:p>
      <w:pPr>
        <w:spacing w:line="20" w:lineRule="exact"/>
        <w:jc w:val="right"/>
        <w:rPr>
          <w:b/>
          <w:sz w:val="20"/>
          <w:szCs w:val="20"/>
        </w:rPr>
      </w:pPr>
    </w:p>
    <w:p>
      <w:pPr>
        <w:rPr>
          <w:sz w:val="20"/>
          <w:szCs w:val="20"/>
        </w:rPr>
      </w:pPr>
    </w:p>
    <w:tbl>
      <w:tblPr>
        <w:tblStyle w:val="3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tblHeader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附表9</w:t>
            </w:r>
            <w:r>
              <w:rPr>
                <w:sz w:val="22"/>
                <w:szCs w:val="22"/>
              </w:rPr>
              <w:t>-2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</w:rPr>
              <w:t>附表9-2为空表（略）</w:t>
            </w:r>
          </w:p>
        </w:tc>
      </w:tr>
    </w:tbl>
    <w:p>
      <w:pPr>
        <w:spacing w:line="20" w:lineRule="exact"/>
        <w:jc w:val="right"/>
        <w:rPr>
          <w:b/>
          <w:sz w:val="20"/>
          <w:szCs w:val="20"/>
        </w:rPr>
      </w:pPr>
    </w:p>
    <w:p>
      <w:pPr>
        <w:rPr>
          <w:sz w:val="20"/>
          <w:szCs w:val="20"/>
        </w:rPr>
      </w:pPr>
    </w:p>
    <w:tbl>
      <w:tblPr>
        <w:tblStyle w:val="3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附表9</w:t>
            </w:r>
            <w:r>
              <w:rPr>
                <w:sz w:val="22"/>
                <w:szCs w:val="22"/>
              </w:rPr>
              <w:t>-3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</w:rPr>
              <w:t>附表9-3为空表（略）</w:t>
            </w:r>
          </w:p>
        </w:tc>
      </w:tr>
    </w:tbl>
    <w:p>
      <w:pPr>
        <w:spacing w:line="20" w:lineRule="exact"/>
        <w:jc w:val="right"/>
        <w:rPr>
          <w:b/>
          <w:sz w:val="20"/>
          <w:szCs w:val="20"/>
        </w:rPr>
      </w:pPr>
    </w:p>
    <w:p/>
    <w:p>
      <w:pPr>
        <w:pStyle w:val="110"/>
        <w:spacing w:before="240" w:after="240"/>
        <w:ind w:firstLine="643"/>
        <w:outlineLvl w:val="3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（10）政府储备物资明细信息如下：</w:t>
      </w:r>
    </w:p>
    <w:tbl>
      <w:tblPr>
        <w:tblStyle w:val="3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附表10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</w:rPr>
              <w:t>附表10为空表（略）</w:t>
            </w:r>
          </w:p>
        </w:tc>
      </w:tr>
    </w:tbl>
    <w:p>
      <w:pPr>
        <w:spacing w:line="20" w:lineRule="exact"/>
        <w:jc w:val="right"/>
        <w:rPr>
          <w:b/>
          <w:sz w:val="20"/>
          <w:szCs w:val="20"/>
        </w:rPr>
      </w:pPr>
    </w:p>
    <w:p/>
    <w:p/>
    <w:p>
      <w:pPr>
        <w:pStyle w:val="110"/>
        <w:spacing w:before="240" w:after="240"/>
        <w:ind w:firstLine="643"/>
        <w:outlineLvl w:val="3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（11）保障性住房明细信息如下：</w:t>
      </w:r>
    </w:p>
    <w:tbl>
      <w:tblPr>
        <w:tblStyle w:val="3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附表</w:t>
            </w:r>
            <w:r>
              <w:rPr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1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</w:rPr>
              <w:t>附表11为空表（略）</w:t>
            </w:r>
          </w:p>
        </w:tc>
      </w:tr>
    </w:tbl>
    <w:p>
      <w:pPr>
        <w:spacing w:line="20" w:lineRule="exact"/>
        <w:jc w:val="right"/>
        <w:rPr>
          <w:b/>
          <w:sz w:val="20"/>
          <w:szCs w:val="20"/>
        </w:rPr>
      </w:pPr>
    </w:p>
    <w:p>
      <w:pPr>
        <w:rPr>
          <w:sz w:val="20"/>
          <w:szCs w:val="20"/>
        </w:rPr>
      </w:pPr>
    </w:p>
    <w:p>
      <w:pPr>
        <w:pStyle w:val="110"/>
        <w:spacing w:before="240" w:after="240"/>
        <w:ind w:firstLine="643"/>
        <w:outlineLvl w:val="3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（12）应付账款明细信息如下：</w:t>
      </w:r>
    </w:p>
    <w:tbl>
      <w:tblPr>
        <w:tblStyle w:val="3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附表</w:t>
            </w:r>
            <w:r>
              <w:rPr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2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</w:rPr>
              <w:t>附表12为空表（略）</w:t>
            </w:r>
          </w:p>
        </w:tc>
      </w:tr>
    </w:tbl>
    <w:p>
      <w:pPr>
        <w:spacing w:line="20" w:lineRule="exact"/>
        <w:jc w:val="right"/>
        <w:rPr>
          <w:sz w:val="20"/>
          <w:szCs w:val="20"/>
        </w:rPr>
      </w:pPr>
    </w:p>
    <w:p>
      <w:pPr>
        <w:rPr>
          <w:sz w:val="22"/>
          <w:szCs w:val="22"/>
        </w:rPr>
      </w:pPr>
    </w:p>
    <w:p>
      <w:pPr>
        <w:pStyle w:val="110"/>
        <w:spacing w:before="240" w:after="240"/>
        <w:ind w:firstLine="643"/>
        <w:outlineLvl w:val="3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</w:t>
      </w:r>
      <w:r>
        <w:rPr>
          <w:rFonts w:ascii="仿宋" w:hAnsi="仿宋" w:eastAsia="仿宋"/>
          <w:b/>
          <w:sz w:val="32"/>
          <w:szCs w:val="32"/>
        </w:rPr>
        <w:t>1</w:t>
      </w:r>
      <w:r>
        <w:rPr>
          <w:rFonts w:hint="eastAsia" w:ascii="仿宋" w:hAnsi="仿宋" w:eastAsia="仿宋"/>
          <w:b/>
          <w:sz w:val="32"/>
          <w:szCs w:val="32"/>
        </w:rPr>
        <w:t>3）预收账款明细信息如下：</w:t>
      </w:r>
    </w:p>
    <w:tbl>
      <w:tblPr>
        <w:tblStyle w:val="3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附表</w:t>
            </w:r>
            <w:r>
              <w:rPr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3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</w:rPr>
              <w:t>附表13为空表（略）</w:t>
            </w:r>
          </w:p>
        </w:tc>
      </w:tr>
    </w:tbl>
    <w:p>
      <w:pPr>
        <w:spacing w:line="20" w:lineRule="exact"/>
        <w:jc w:val="right"/>
        <w:rPr>
          <w:sz w:val="20"/>
          <w:szCs w:val="20"/>
        </w:rPr>
      </w:pPr>
    </w:p>
    <w:p>
      <w:pPr>
        <w:rPr>
          <w:sz w:val="22"/>
          <w:szCs w:val="22"/>
        </w:rPr>
      </w:pPr>
    </w:p>
    <w:p>
      <w:pPr>
        <w:pStyle w:val="110"/>
        <w:spacing w:before="240" w:after="240"/>
        <w:ind w:firstLine="643"/>
        <w:outlineLvl w:val="3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</w:t>
      </w:r>
      <w:r>
        <w:rPr>
          <w:rFonts w:ascii="仿宋" w:hAnsi="仿宋" w:eastAsia="仿宋"/>
          <w:b/>
          <w:sz w:val="32"/>
          <w:szCs w:val="32"/>
        </w:rPr>
        <w:t>1</w:t>
      </w:r>
      <w:r>
        <w:rPr>
          <w:rFonts w:hint="eastAsia" w:ascii="仿宋" w:hAnsi="仿宋" w:eastAsia="仿宋"/>
          <w:b/>
          <w:sz w:val="32"/>
          <w:szCs w:val="32"/>
        </w:rPr>
        <w:t>4）其他应付款明细信息如下：</w:t>
      </w:r>
    </w:p>
    <w:tbl>
      <w:tblPr>
        <w:tblStyle w:val="3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附表</w:t>
            </w:r>
            <w:r>
              <w:rPr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4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</w:rPr>
              <w:t>附表14为空表（略）</w:t>
            </w:r>
          </w:p>
        </w:tc>
      </w:tr>
    </w:tbl>
    <w:p>
      <w:pPr>
        <w:spacing w:line="20" w:lineRule="exact"/>
        <w:jc w:val="right"/>
        <w:rPr>
          <w:sz w:val="20"/>
          <w:szCs w:val="20"/>
        </w:rPr>
      </w:pPr>
    </w:p>
    <w:p>
      <w:pPr>
        <w:ind w:firstLine="400" w:firstLineChars="200"/>
        <w:rPr>
          <w:sz w:val="22"/>
          <w:szCs w:val="22"/>
        </w:rPr>
      </w:pPr>
      <w:r>
        <w:rPr>
          <w:rFonts w:hint="eastAsia"/>
          <w:sz w:val="20"/>
          <w:szCs w:val="20"/>
        </w:rPr>
        <w:t>注：“应付同级财政”主要包括预拨经费、向同级财政部门借入的款项</w:t>
      </w:r>
    </w:p>
    <w:p>
      <w:pPr>
        <w:pStyle w:val="110"/>
        <w:spacing w:before="240" w:after="240"/>
        <w:ind w:firstLine="643"/>
        <w:outlineLvl w:val="3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</w:t>
      </w:r>
      <w:r>
        <w:rPr>
          <w:rFonts w:ascii="仿宋" w:hAnsi="仿宋" w:eastAsia="仿宋"/>
          <w:b/>
          <w:sz w:val="32"/>
          <w:szCs w:val="32"/>
        </w:rPr>
        <w:t>1</w:t>
      </w:r>
      <w:r>
        <w:rPr>
          <w:rFonts w:hint="eastAsia" w:ascii="仿宋" w:hAnsi="仿宋" w:eastAsia="仿宋"/>
          <w:b/>
          <w:sz w:val="32"/>
          <w:szCs w:val="32"/>
        </w:rPr>
        <w:t>5）长期借款明细信息如下：</w:t>
      </w:r>
    </w:p>
    <w:tbl>
      <w:tblPr>
        <w:tblStyle w:val="3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附表</w:t>
            </w:r>
            <w:r>
              <w:rPr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-</w:t>
            </w:r>
            <w:r>
              <w:rPr>
                <w:rFonts w:hint="eastAsia"/>
                <w:sz w:val="22"/>
                <w:szCs w:val="22"/>
              </w:rPr>
              <w:t>1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</w:rPr>
              <w:t>附表15-1为空表（略）</w:t>
            </w:r>
          </w:p>
        </w:tc>
      </w:tr>
    </w:tbl>
    <w:p>
      <w:pPr>
        <w:spacing w:line="20" w:lineRule="exact"/>
        <w:jc w:val="right"/>
        <w:rPr>
          <w:sz w:val="20"/>
          <w:szCs w:val="20"/>
        </w:rPr>
      </w:pPr>
    </w:p>
    <w:p>
      <w:pPr>
        <w:pStyle w:val="110"/>
        <w:ind w:firstLine="600"/>
      </w:pPr>
    </w:p>
    <w:tbl>
      <w:tblPr>
        <w:tblStyle w:val="3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附表</w:t>
            </w:r>
            <w:r>
              <w:rPr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-</w:t>
            </w:r>
            <w:r>
              <w:rPr>
                <w:rFonts w:hint="eastAsia"/>
                <w:sz w:val="22"/>
                <w:szCs w:val="22"/>
              </w:rPr>
              <w:t>2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</w:rPr>
              <w:t>附表15-2为空表（略）</w:t>
            </w:r>
          </w:p>
        </w:tc>
      </w:tr>
    </w:tbl>
    <w:p>
      <w:pPr>
        <w:spacing w:line="20" w:lineRule="exact"/>
        <w:jc w:val="right"/>
        <w:rPr>
          <w:sz w:val="20"/>
          <w:szCs w:val="20"/>
        </w:rPr>
      </w:pPr>
    </w:p>
    <w:p>
      <w:pPr>
        <w:rPr>
          <w:sz w:val="22"/>
          <w:szCs w:val="22"/>
        </w:rPr>
      </w:pPr>
    </w:p>
    <w:p>
      <w:pPr>
        <w:pStyle w:val="110"/>
        <w:spacing w:before="240" w:after="240"/>
        <w:ind w:firstLine="643"/>
        <w:outlineLvl w:val="3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</w:t>
      </w:r>
      <w:r>
        <w:rPr>
          <w:rFonts w:ascii="仿宋" w:hAnsi="仿宋" w:eastAsia="仿宋"/>
          <w:b/>
          <w:sz w:val="32"/>
          <w:szCs w:val="32"/>
        </w:rPr>
        <w:t>1</w:t>
      </w:r>
      <w:r>
        <w:rPr>
          <w:rFonts w:hint="eastAsia" w:ascii="仿宋" w:hAnsi="仿宋" w:eastAsia="仿宋"/>
          <w:b/>
          <w:sz w:val="32"/>
          <w:szCs w:val="32"/>
        </w:rPr>
        <w:t>6）长期应付款明细信息如下：</w:t>
      </w:r>
    </w:p>
    <w:tbl>
      <w:tblPr>
        <w:tblStyle w:val="3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附表</w:t>
            </w:r>
            <w:r>
              <w:rPr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6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</w:rPr>
              <w:t>附表16为空表（略）</w:t>
            </w:r>
          </w:p>
        </w:tc>
      </w:tr>
    </w:tbl>
    <w:p>
      <w:pPr>
        <w:spacing w:line="20" w:lineRule="exact"/>
        <w:jc w:val="right"/>
        <w:rPr>
          <w:sz w:val="20"/>
          <w:szCs w:val="20"/>
        </w:rPr>
      </w:pPr>
    </w:p>
    <w:p>
      <w:pPr>
        <w:rPr>
          <w:sz w:val="22"/>
          <w:szCs w:val="22"/>
        </w:rPr>
      </w:pPr>
    </w:p>
    <w:p>
      <w:pPr>
        <w:pStyle w:val="110"/>
        <w:spacing w:before="240" w:after="240"/>
        <w:ind w:firstLine="643"/>
        <w:outlineLvl w:val="3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</w:t>
      </w:r>
      <w:r>
        <w:rPr>
          <w:rFonts w:ascii="仿宋" w:hAnsi="仿宋" w:eastAsia="仿宋"/>
          <w:b/>
          <w:sz w:val="32"/>
          <w:szCs w:val="32"/>
        </w:rPr>
        <w:t>1</w:t>
      </w:r>
      <w:r>
        <w:rPr>
          <w:rFonts w:hint="eastAsia" w:ascii="仿宋" w:hAnsi="仿宋" w:eastAsia="仿宋"/>
          <w:b/>
          <w:sz w:val="32"/>
          <w:szCs w:val="32"/>
        </w:rPr>
        <w:t>7）事业收入明细信息如下：</w:t>
      </w:r>
    </w:p>
    <w:tbl>
      <w:tblPr>
        <w:tblStyle w:val="3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附表</w:t>
            </w:r>
            <w:r>
              <w:rPr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7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事业收入明细表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单位：万元</w:t>
            </w:r>
          </w:p>
        </w:tc>
      </w:tr>
    </w:tbl>
    <w:p>
      <w:pPr>
        <w:spacing w:line="20" w:lineRule="exact"/>
        <w:jc w:val="right"/>
        <w:rPr>
          <w:sz w:val="20"/>
          <w:szCs w:val="20"/>
        </w:rPr>
      </w:pPr>
    </w:p>
    <w:tbl>
      <w:tblPr>
        <w:tblStyle w:val="35"/>
        <w:tblW w:w="5000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4"/>
        <w:gridCol w:w="426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00" w:type="pct"/>
            <w:shd w:val="clear" w:color="FFFFFF" w:fill="FFFFFF"/>
          </w:tcPr>
          <w:p>
            <w:pPr>
              <w:widowControl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收入来源</w:t>
            </w:r>
          </w:p>
        </w:tc>
        <w:tc>
          <w:tcPr>
            <w:tcW w:w="2500" w:type="pct"/>
            <w:shd w:val="clear" w:color="FFFFFF" w:fill="FFFFFF"/>
          </w:tcPr>
          <w:p>
            <w:pPr>
              <w:widowControl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本年数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exact"/>
        </w:trPr>
        <w:tc>
          <w:tcPr>
            <w:tcW w:w="2500" w:type="pct"/>
            <w:shd w:val="clear" w:color="FFFFFF" w:fill="FFFFFF"/>
          </w:tcPr>
          <w:p>
            <w:pPr>
              <w:widowControl w:val="0"/>
              <w:jc w:val="both"/>
              <w:rPr>
                <w:sz w:val="22"/>
                <w:szCs w:val="22"/>
              </w:rPr>
            </w:pPr>
          </w:p>
        </w:tc>
        <w:tc>
          <w:tcPr>
            <w:tcW w:w="2500" w:type="pct"/>
            <w:shd w:val="clear" w:color="FFFFFF" w:fill="FFFFFF"/>
          </w:tcPr>
          <w:p>
            <w:pPr>
              <w:widowControl w:val="0"/>
              <w:jc w:val="both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00" w:type="dxa"/>
            <w:shd w:val="clear" w:color="FFFFFF" w:fill="FFFFFF"/>
          </w:tcPr>
          <w:p>
            <w:pPr>
              <w:widowControl w:val="0"/>
              <w:jc w:val="left"/>
            </w:pPr>
            <w:r>
              <w:rPr>
                <w:b/>
                <w:position w:val="-1"/>
                <w:sz w:val="20"/>
              </w:rPr>
              <w:t>来自财政专户管理资金</w:t>
            </w:r>
          </w:p>
        </w:tc>
        <w:tc>
          <w:tcPr>
            <w:tcW w:w="2500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14.81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00" w:type="dxa"/>
            <w:shd w:val="clear" w:color="FFFFFF" w:fill="FFFFFF"/>
          </w:tcPr>
          <w:p>
            <w:pPr>
              <w:widowControl w:val="0"/>
              <w:jc w:val="left"/>
            </w:pPr>
            <w:r>
              <w:rPr>
                <w:b/>
                <w:position w:val="-1"/>
                <w:sz w:val="20"/>
              </w:rPr>
              <w:t>来自本部门内部单位</w:t>
            </w:r>
          </w:p>
        </w:tc>
        <w:tc>
          <w:tcPr>
            <w:tcW w:w="2500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00" w:type="dxa"/>
            <w:shd w:val="clear" w:color="FFFFFF" w:fill="FFFFFF"/>
          </w:tcPr>
          <w:p>
            <w:pPr>
              <w:widowControl w:val="0"/>
              <w:jc w:val="left"/>
            </w:pPr>
            <w:r>
              <w:rPr>
                <w:b/>
                <w:position w:val="-1"/>
                <w:sz w:val="20"/>
              </w:rPr>
              <w:t>来自本部门以外的同级政府单位</w:t>
            </w:r>
          </w:p>
        </w:tc>
        <w:tc>
          <w:tcPr>
            <w:tcW w:w="2500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00" w:type="dxa"/>
            <w:shd w:val="clear" w:color="FFFFFF" w:fill="FFFFFF"/>
          </w:tcPr>
          <w:p>
            <w:pPr>
              <w:widowControl w:val="0"/>
              <w:jc w:val="left"/>
            </w:pPr>
            <w:r>
              <w:rPr>
                <w:b/>
                <w:position w:val="-1"/>
                <w:sz w:val="20"/>
              </w:rPr>
              <w:t>来自本部门以外的非同级政府单位</w:t>
            </w:r>
          </w:p>
        </w:tc>
        <w:tc>
          <w:tcPr>
            <w:tcW w:w="2500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00" w:type="dxa"/>
            <w:shd w:val="clear" w:color="FFFFFF" w:fill="FFFFFF"/>
          </w:tcPr>
          <w:p>
            <w:pPr>
              <w:widowControl w:val="0"/>
              <w:jc w:val="left"/>
            </w:pPr>
            <w:r>
              <w:rPr>
                <w:b/>
                <w:position w:val="-1"/>
                <w:sz w:val="20"/>
              </w:rPr>
              <w:t>来自非同级财政</w:t>
            </w:r>
          </w:p>
        </w:tc>
        <w:tc>
          <w:tcPr>
            <w:tcW w:w="2500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00" w:type="dxa"/>
            <w:shd w:val="clear" w:color="FFFFFF" w:fill="FFFFFF"/>
          </w:tcPr>
          <w:p>
            <w:pPr>
              <w:widowControl w:val="0"/>
              <w:jc w:val="left"/>
            </w:pPr>
            <w:r>
              <w:rPr>
                <w:b/>
                <w:position w:val="-1"/>
                <w:sz w:val="20"/>
              </w:rPr>
              <w:t>来自其他单位</w:t>
            </w:r>
          </w:p>
        </w:tc>
        <w:tc>
          <w:tcPr>
            <w:tcW w:w="2500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500" w:type="dxa"/>
            <w:tcBorders>
              <w:top w:val="single" w:color="auto" w:sz="4" w:space="0"/>
              <w:bottom w:val="single" w:color="auto" w:sz="4" w:space="0"/>
            </w:tcBorders>
            <w:shd w:val="clear" w:color="FFFFFF" w:fill="FFFFFF"/>
          </w:tcPr>
          <w:p>
            <w:pPr>
              <w:widowControl w:val="0"/>
              <w:jc w:val="center"/>
            </w:pPr>
            <w:r>
              <w:rPr>
                <w:b/>
                <w:position w:val="-1"/>
                <w:sz w:val="20"/>
              </w:rPr>
              <w:t>合计</w:t>
            </w:r>
          </w:p>
        </w:tc>
        <w:tc>
          <w:tcPr>
            <w:tcW w:w="2500" w:type="dxa"/>
            <w:tcBorders>
              <w:top w:val="single" w:color="auto" w:sz="4" w:space="0"/>
              <w:bottom w:val="single" w:color="auto" w:sz="4" w:space="0"/>
            </w:tcBorders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14.81</w:t>
            </w:r>
          </w:p>
        </w:tc>
      </w:tr>
    </w:tbl>
    <w:p>
      <w:pPr>
        <w:rPr>
          <w:sz w:val="22"/>
          <w:szCs w:val="22"/>
        </w:rPr>
      </w:pPr>
    </w:p>
    <w:p>
      <w:pPr>
        <w:pStyle w:val="110"/>
        <w:spacing w:before="240" w:after="240"/>
        <w:ind w:firstLine="643"/>
        <w:outlineLvl w:val="3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</w:t>
      </w:r>
      <w:r>
        <w:rPr>
          <w:rFonts w:ascii="仿宋" w:hAnsi="仿宋" w:eastAsia="仿宋"/>
          <w:b/>
          <w:sz w:val="32"/>
          <w:szCs w:val="32"/>
        </w:rPr>
        <w:t>1</w:t>
      </w:r>
      <w:r>
        <w:rPr>
          <w:rFonts w:hint="eastAsia" w:ascii="仿宋" w:hAnsi="仿宋" w:eastAsia="仿宋"/>
          <w:b/>
          <w:sz w:val="32"/>
          <w:szCs w:val="32"/>
        </w:rPr>
        <w:t>8）经营收入明细信息如下：</w:t>
      </w:r>
    </w:p>
    <w:tbl>
      <w:tblPr>
        <w:tblStyle w:val="3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附表</w:t>
            </w:r>
            <w:r>
              <w:rPr>
                <w:sz w:val="22"/>
                <w:szCs w:val="22"/>
              </w:rPr>
              <w:t>1</w:t>
            </w:r>
            <w:r>
              <w:rPr>
                <w:rFonts w:hint="eastAsia"/>
                <w:sz w:val="22"/>
                <w:szCs w:val="22"/>
              </w:rPr>
              <w:t>8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</w:rPr>
              <w:t>附表18为空表（略）</w:t>
            </w:r>
          </w:p>
        </w:tc>
      </w:tr>
    </w:tbl>
    <w:p>
      <w:pPr>
        <w:spacing w:line="20" w:lineRule="exact"/>
        <w:jc w:val="right"/>
        <w:rPr>
          <w:sz w:val="20"/>
          <w:szCs w:val="20"/>
        </w:rPr>
      </w:pPr>
    </w:p>
    <w:p>
      <w:pPr>
        <w:rPr>
          <w:sz w:val="22"/>
          <w:szCs w:val="22"/>
        </w:rPr>
      </w:pPr>
    </w:p>
    <w:p>
      <w:pPr>
        <w:pStyle w:val="110"/>
        <w:spacing w:before="240" w:after="240"/>
        <w:ind w:firstLine="643"/>
        <w:outlineLvl w:val="3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（19）非同级财政拨款收入明细信息如下：</w:t>
      </w:r>
    </w:p>
    <w:tbl>
      <w:tblPr>
        <w:tblStyle w:val="3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附表19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</w:rPr>
              <w:t>附表19为空表（略）</w:t>
            </w:r>
          </w:p>
        </w:tc>
      </w:tr>
    </w:tbl>
    <w:p>
      <w:pPr>
        <w:spacing w:line="20" w:lineRule="exact"/>
        <w:jc w:val="right"/>
        <w:rPr>
          <w:sz w:val="20"/>
          <w:szCs w:val="20"/>
        </w:rPr>
      </w:pPr>
    </w:p>
    <w:p>
      <w:pPr>
        <w:ind w:left="440" w:hanging="440" w:hangingChars="200"/>
      </w:pPr>
      <w:r>
        <w:rPr>
          <w:sz w:val="22"/>
        </w:rPr>
        <w:t>注：“来自非同级财政”是指收到其他财政部门的拨款。</w:t>
      </w:r>
    </w:p>
    <w:p>
      <w:pPr>
        <w:pStyle w:val="110"/>
        <w:spacing w:before="240" w:after="240"/>
        <w:ind w:firstLine="643"/>
        <w:outlineLvl w:val="3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（20）其他收入明细信息如下：</w:t>
      </w:r>
    </w:p>
    <w:tbl>
      <w:tblPr>
        <w:tblStyle w:val="3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附表20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</w:rPr>
              <w:t>附表20为空表（略）</w:t>
            </w:r>
          </w:p>
        </w:tc>
      </w:tr>
    </w:tbl>
    <w:p>
      <w:pPr>
        <w:spacing w:line="20" w:lineRule="exact"/>
        <w:jc w:val="right"/>
        <w:rPr>
          <w:sz w:val="20"/>
          <w:szCs w:val="20"/>
        </w:rPr>
      </w:pPr>
    </w:p>
    <w:p>
      <w:pPr>
        <w:rPr>
          <w:sz w:val="22"/>
          <w:szCs w:val="22"/>
        </w:rPr>
      </w:pPr>
    </w:p>
    <w:p>
      <w:pPr>
        <w:pStyle w:val="110"/>
        <w:spacing w:before="240" w:after="240"/>
        <w:ind w:firstLine="643"/>
        <w:outlineLvl w:val="3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（21）业务活动费用明细信息如下：</w:t>
      </w:r>
    </w:p>
    <w:tbl>
      <w:tblPr>
        <w:tblStyle w:val="3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附表</w:t>
            </w:r>
            <w:r>
              <w:rPr>
                <w:sz w:val="22"/>
                <w:szCs w:val="22"/>
              </w:rPr>
              <w:t>2</w:t>
            </w:r>
            <w:r>
              <w:rPr>
                <w:rFonts w:hint="eastAsia"/>
                <w:sz w:val="22"/>
                <w:szCs w:val="22"/>
              </w:rPr>
              <w:t>1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业务活动费用明细表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单位：万元</w:t>
            </w:r>
          </w:p>
        </w:tc>
      </w:tr>
    </w:tbl>
    <w:p>
      <w:pPr>
        <w:tabs>
          <w:tab w:val="left" w:pos="4242"/>
          <w:tab w:val="left" w:pos="6754"/>
        </w:tabs>
        <w:spacing w:line="20" w:lineRule="exact"/>
        <w:rPr>
          <w:b/>
          <w:bCs/>
          <w:sz w:val="20"/>
          <w:szCs w:val="20"/>
        </w:rPr>
      </w:pPr>
    </w:p>
    <w:tbl>
      <w:tblPr>
        <w:tblStyle w:val="35"/>
        <w:tblW w:w="5000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7"/>
        <w:gridCol w:w="2458"/>
        <w:gridCol w:w="284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92" w:type="pct"/>
            <w:shd w:val="clear" w:color="FFFFFF" w:fill="FFFFFF"/>
          </w:tcPr>
          <w:p>
            <w:pPr>
              <w:widowControl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项目</w:t>
            </w:r>
          </w:p>
        </w:tc>
        <w:tc>
          <w:tcPr>
            <w:tcW w:w="1441" w:type="pct"/>
            <w:shd w:val="clear" w:color="FFFFFF" w:fill="FFFFFF"/>
          </w:tcPr>
          <w:p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本年数</w:t>
            </w:r>
          </w:p>
        </w:tc>
        <w:tc>
          <w:tcPr>
            <w:tcW w:w="1667" w:type="pct"/>
            <w:shd w:val="clear" w:color="FFFFFF" w:fill="FFFFFF"/>
          </w:tcPr>
          <w:p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上年数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exact"/>
        </w:trPr>
        <w:tc>
          <w:tcPr>
            <w:tcW w:w="1892" w:type="pct"/>
            <w:shd w:val="clear" w:color="FFFFFF" w:fill="FFFFFF"/>
          </w:tcPr>
          <w:p>
            <w:pPr>
              <w:widowControl w:val="0"/>
              <w:jc w:val="both"/>
            </w:pPr>
          </w:p>
        </w:tc>
        <w:tc>
          <w:tcPr>
            <w:tcW w:w="1441" w:type="pct"/>
            <w:shd w:val="clear" w:color="FFFFFF" w:fill="FFFFFF"/>
          </w:tcPr>
          <w:p>
            <w:pPr>
              <w:widowControl w:val="0"/>
              <w:jc w:val="both"/>
            </w:pPr>
          </w:p>
        </w:tc>
        <w:tc>
          <w:tcPr>
            <w:tcW w:w="1667" w:type="pct"/>
            <w:shd w:val="clear" w:color="FFFFFF" w:fill="FFFFFF"/>
          </w:tcPr>
          <w:p>
            <w:pPr>
              <w:widowControl w:val="0"/>
              <w:jc w:val="both"/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92" w:type="dxa"/>
            <w:shd w:val="clear" w:color="FFFFFF" w:fill="FFFFFF"/>
          </w:tcPr>
          <w:p>
            <w:pPr>
              <w:widowControl w:val="0"/>
              <w:jc w:val="left"/>
            </w:pPr>
            <w:r>
              <w:rPr>
                <w:position w:val="-1"/>
                <w:sz w:val="20"/>
              </w:rPr>
              <w:t xml:space="preserve">  工资和福利费用</w:t>
            </w:r>
          </w:p>
        </w:tc>
        <w:tc>
          <w:tcPr>
            <w:tcW w:w="1441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756.08</w:t>
            </w:r>
          </w:p>
        </w:tc>
        <w:tc>
          <w:tcPr>
            <w:tcW w:w="1667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92" w:type="dxa"/>
            <w:shd w:val="clear" w:color="FFFFFF" w:fill="FFFFFF"/>
          </w:tcPr>
          <w:p>
            <w:pPr>
              <w:widowControl w:val="0"/>
              <w:jc w:val="left"/>
            </w:pPr>
            <w:r>
              <w:rPr>
                <w:position w:val="-1"/>
                <w:sz w:val="20"/>
              </w:rPr>
              <w:t xml:space="preserve">  商品和服务费用</w:t>
            </w:r>
          </w:p>
        </w:tc>
        <w:tc>
          <w:tcPr>
            <w:tcW w:w="1441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667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92" w:type="dxa"/>
            <w:shd w:val="clear" w:color="FFFFFF" w:fill="FFFFFF"/>
          </w:tcPr>
          <w:p>
            <w:pPr>
              <w:widowControl w:val="0"/>
              <w:jc w:val="left"/>
            </w:pPr>
            <w:r>
              <w:rPr>
                <w:position w:val="-1"/>
                <w:sz w:val="20"/>
              </w:rPr>
              <w:t xml:space="preserve">  对个人和家庭的补助费用</w:t>
            </w:r>
          </w:p>
        </w:tc>
        <w:tc>
          <w:tcPr>
            <w:tcW w:w="1441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667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92" w:type="dxa"/>
            <w:shd w:val="clear" w:color="FFFFFF" w:fill="FFFFFF"/>
          </w:tcPr>
          <w:p>
            <w:pPr>
              <w:widowControl w:val="0"/>
              <w:jc w:val="left"/>
            </w:pPr>
            <w:r>
              <w:rPr>
                <w:position w:val="-1"/>
                <w:sz w:val="20"/>
              </w:rPr>
              <w:t xml:space="preserve">  对企业补助费用</w:t>
            </w:r>
          </w:p>
        </w:tc>
        <w:tc>
          <w:tcPr>
            <w:tcW w:w="1441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667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92" w:type="dxa"/>
            <w:shd w:val="clear" w:color="FFFFFF" w:fill="FFFFFF"/>
          </w:tcPr>
          <w:p>
            <w:pPr>
              <w:widowControl w:val="0"/>
              <w:jc w:val="left"/>
            </w:pPr>
            <w:r>
              <w:rPr>
                <w:position w:val="-1"/>
                <w:sz w:val="20"/>
              </w:rPr>
              <w:t xml:space="preserve">  固定资产折旧费用</w:t>
            </w:r>
          </w:p>
        </w:tc>
        <w:tc>
          <w:tcPr>
            <w:tcW w:w="1441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667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92" w:type="dxa"/>
            <w:shd w:val="clear" w:color="FFFFFF" w:fill="FFFFFF"/>
          </w:tcPr>
          <w:p>
            <w:pPr>
              <w:widowControl w:val="0"/>
              <w:jc w:val="left"/>
            </w:pPr>
            <w:r>
              <w:rPr>
                <w:position w:val="-1"/>
                <w:sz w:val="20"/>
              </w:rPr>
              <w:t xml:space="preserve">  无形资产摊销费用</w:t>
            </w:r>
          </w:p>
        </w:tc>
        <w:tc>
          <w:tcPr>
            <w:tcW w:w="1441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667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92" w:type="dxa"/>
            <w:shd w:val="clear" w:color="FFFFFF" w:fill="FFFFFF"/>
          </w:tcPr>
          <w:p>
            <w:pPr>
              <w:widowControl w:val="0"/>
              <w:jc w:val="left"/>
            </w:pPr>
            <w:r>
              <w:rPr>
                <w:position w:val="-1"/>
                <w:sz w:val="20"/>
              </w:rPr>
              <w:t xml:space="preserve">  公共基础设施折旧（摊销）费用</w:t>
            </w:r>
          </w:p>
        </w:tc>
        <w:tc>
          <w:tcPr>
            <w:tcW w:w="1441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667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92" w:type="dxa"/>
            <w:shd w:val="clear" w:color="FFFFFF" w:fill="FFFFFF"/>
          </w:tcPr>
          <w:p>
            <w:pPr>
              <w:widowControl w:val="0"/>
              <w:jc w:val="left"/>
            </w:pPr>
            <w:r>
              <w:rPr>
                <w:position w:val="-1"/>
                <w:sz w:val="20"/>
              </w:rPr>
              <w:t xml:space="preserve">  保障性住房折旧费用</w:t>
            </w:r>
          </w:p>
        </w:tc>
        <w:tc>
          <w:tcPr>
            <w:tcW w:w="1441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667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92" w:type="dxa"/>
            <w:shd w:val="clear" w:color="FFFFFF" w:fill="FFFFFF"/>
          </w:tcPr>
          <w:p>
            <w:pPr>
              <w:widowControl w:val="0"/>
              <w:jc w:val="left"/>
            </w:pPr>
            <w:r>
              <w:rPr>
                <w:position w:val="-1"/>
                <w:sz w:val="20"/>
              </w:rPr>
              <w:t xml:space="preserve">  计提专用基金</w:t>
            </w:r>
          </w:p>
        </w:tc>
        <w:tc>
          <w:tcPr>
            <w:tcW w:w="1441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667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92" w:type="dxa"/>
            <w:shd w:val="clear" w:color="FFFFFF" w:fill="FFFFFF"/>
          </w:tcPr>
          <w:p>
            <w:pPr>
              <w:widowControl w:val="0"/>
              <w:jc w:val="left"/>
            </w:pPr>
            <w:r>
              <w:rPr>
                <w:position w:val="-1"/>
                <w:sz w:val="20"/>
              </w:rPr>
              <w:t xml:space="preserve">  其他业务活动费用</w:t>
            </w:r>
          </w:p>
        </w:tc>
        <w:tc>
          <w:tcPr>
            <w:tcW w:w="1441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667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892" w:type="dxa"/>
            <w:tcBorders>
              <w:top w:val="single" w:color="auto" w:sz="4" w:space="0"/>
              <w:bottom w:val="single" w:color="auto" w:sz="4" w:space="0"/>
            </w:tcBorders>
            <w:shd w:val="clear" w:color="FFFFFF" w:fill="FFFFFF"/>
          </w:tcPr>
          <w:p>
            <w:pPr>
              <w:widowControl w:val="0"/>
              <w:jc w:val="center"/>
            </w:pPr>
            <w:r>
              <w:rPr>
                <w:b/>
                <w:position w:val="-1"/>
                <w:sz w:val="20"/>
              </w:rPr>
              <w:t>合计</w:t>
            </w:r>
          </w:p>
        </w:tc>
        <w:tc>
          <w:tcPr>
            <w:tcW w:w="1441" w:type="dxa"/>
            <w:tcBorders>
              <w:top w:val="single" w:color="auto" w:sz="4" w:space="0"/>
              <w:bottom w:val="single" w:color="auto" w:sz="4" w:space="0"/>
            </w:tcBorders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756.08</w:t>
            </w:r>
          </w:p>
        </w:tc>
        <w:tc>
          <w:tcPr>
            <w:tcW w:w="1667" w:type="dxa"/>
            <w:tcBorders>
              <w:top w:val="single" w:color="auto" w:sz="4" w:space="0"/>
              <w:bottom w:val="single" w:color="auto" w:sz="4" w:space="0"/>
            </w:tcBorders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</w:tbl>
    <w:p/>
    <w:p>
      <w:pPr>
        <w:pStyle w:val="110"/>
        <w:spacing w:before="240" w:after="240"/>
        <w:ind w:firstLine="643"/>
        <w:outlineLvl w:val="3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（22）单位管理费用明细信息如下：</w:t>
      </w:r>
    </w:p>
    <w:tbl>
      <w:tblPr>
        <w:tblStyle w:val="3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附表</w:t>
            </w:r>
            <w:r>
              <w:rPr>
                <w:sz w:val="22"/>
                <w:szCs w:val="22"/>
              </w:rPr>
              <w:t>2</w:t>
            </w:r>
            <w:r>
              <w:rPr>
                <w:rFonts w:hint="eastAsia"/>
                <w:sz w:val="22"/>
                <w:szCs w:val="22"/>
              </w:rPr>
              <w:t>2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单位管理费用明细表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单位：万元</w:t>
            </w:r>
          </w:p>
        </w:tc>
      </w:tr>
    </w:tbl>
    <w:p>
      <w:pPr>
        <w:tabs>
          <w:tab w:val="left" w:pos="4242"/>
          <w:tab w:val="left" w:pos="6754"/>
        </w:tabs>
        <w:spacing w:line="20" w:lineRule="exact"/>
        <w:rPr>
          <w:b/>
          <w:bCs/>
          <w:sz w:val="20"/>
          <w:szCs w:val="20"/>
        </w:rPr>
      </w:pPr>
    </w:p>
    <w:tbl>
      <w:tblPr>
        <w:tblStyle w:val="35"/>
        <w:tblW w:w="5000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2"/>
        <w:gridCol w:w="2843"/>
        <w:gridCol w:w="284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66" w:type="pct"/>
            <w:shd w:val="clear" w:color="FFFFFF" w:fill="FFFFFF"/>
          </w:tcPr>
          <w:p>
            <w:pPr>
              <w:widowControl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项目</w:t>
            </w:r>
          </w:p>
        </w:tc>
        <w:tc>
          <w:tcPr>
            <w:tcW w:w="1667" w:type="pct"/>
            <w:shd w:val="clear" w:color="FFFFFF" w:fill="FFFFFF"/>
          </w:tcPr>
          <w:p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本年数</w:t>
            </w:r>
          </w:p>
        </w:tc>
        <w:tc>
          <w:tcPr>
            <w:tcW w:w="1667" w:type="pct"/>
            <w:shd w:val="clear" w:color="FFFFFF" w:fill="FFFFFF"/>
          </w:tcPr>
          <w:p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上年数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exact"/>
        </w:trPr>
        <w:tc>
          <w:tcPr>
            <w:tcW w:w="1666" w:type="pct"/>
            <w:shd w:val="clear" w:color="FFFFFF" w:fill="FFFFFF"/>
          </w:tcPr>
          <w:p>
            <w:pPr>
              <w:widowControl w:val="0"/>
              <w:jc w:val="both"/>
            </w:pPr>
          </w:p>
        </w:tc>
        <w:tc>
          <w:tcPr>
            <w:tcW w:w="1667" w:type="pct"/>
            <w:shd w:val="clear" w:color="FFFFFF" w:fill="FFFFFF"/>
          </w:tcPr>
          <w:p>
            <w:pPr>
              <w:widowControl w:val="0"/>
              <w:jc w:val="both"/>
            </w:pPr>
          </w:p>
        </w:tc>
        <w:tc>
          <w:tcPr>
            <w:tcW w:w="1667" w:type="pct"/>
            <w:shd w:val="clear" w:color="FFFFFF" w:fill="FFFFFF"/>
          </w:tcPr>
          <w:p>
            <w:pPr>
              <w:widowControl w:val="0"/>
              <w:jc w:val="both"/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66" w:type="dxa"/>
            <w:shd w:val="clear" w:color="FFFFFF" w:fill="FFFFFF"/>
          </w:tcPr>
          <w:p>
            <w:pPr>
              <w:widowControl w:val="0"/>
              <w:jc w:val="left"/>
            </w:pPr>
            <w:r>
              <w:rPr>
                <w:position w:val="-1"/>
                <w:sz w:val="20"/>
              </w:rPr>
              <w:t xml:space="preserve">  工资和福利费用</w:t>
            </w:r>
          </w:p>
        </w:tc>
        <w:tc>
          <w:tcPr>
            <w:tcW w:w="1667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1,241.72</w:t>
            </w:r>
          </w:p>
        </w:tc>
        <w:tc>
          <w:tcPr>
            <w:tcW w:w="1667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66" w:type="dxa"/>
            <w:shd w:val="clear" w:color="FFFFFF" w:fill="FFFFFF"/>
          </w:tcPr>
          <w:p>
            <w:pPr>
              <w:widowControl w:val="0"/>
              <w:jc w:val="left"/>
            </w:pPr>
            <w:r>
              <w:rPr>
                <w:position w:val="-1"/>
                <w:sz w:val="20"/>
              </w:rPr>
              <w:t xml:space="preserve">  商品和服务费用</w:t>
            </w:r>
          </w:p>
        </w:tc>
        <w:tc>
          <w:tcPr>
            <w:tcW w:w="1667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667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66" w:type="dxa"/>
            <w:shd w:val="clear" w:color="FFFFFF" w:fill="FFFFFF"/>
          </w:tcPr>
          <w:p>
            <w:pPr>
              <w:widowControl w:val="0"/>
              <w:jc w:val="left"/>
            </w:pPr>
            <w:r>
              <w:rPr>
                <w:position w:val="-1"/>
                <w:sz w:val="20"/>
              </w:rPr>
              <w:t xml:space="preserve">  对个人和家庭的补助费用</w:t>
            </w:r>
          </w:p>
        </w:tc>
        <w:tc>
          <w:tcPr>
            <w:tcW w:w="1667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667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66" w:type="dxa"/>
            <w:shd w:val="clear" w:color="FFFFFF" w:fill="FFFFFF"/>
          </w:tcPr>
          <w:p>
            <w:pPr>
              <w:widowControl w:val="0"/>
              <w:jc w:val="left"/>
            </w:pPr>
            <w:r>
              <w:rPr>
                <w:position w:val="-1"/>
                <w:sz w:val="20"/>
              </w:rPr>
              <w:t xml:space="preserve">  固定资产折旧费用</w:t>
            </w:r>
          </w:p>
        </w:tc>
        <w:tc>
          <w:tcPr>
            <w:tcW w:w="1667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2.49</w:t>
            </w:r>
          </w:p>
        </w:tc>
        <w:tc>
          <w:tcPr>
            <w:tcW w:w="1667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66" w:type="dxa"/>
            <w:shd w:val="clear" w:color="FFFFFF" w:fill="FFFFFF"/>
          </w:tcPr>
          <w:p>
            <w:pPr>
              <w:widowControl w:val="0"/>
              <w:jc w:val="left"/>
            </w:pPr>
            <w:r>
              <w:rPr>
                <w:position w:val="-1"/>
                <w:sz w:val="20"/>
              </w:rPr>
              <w:t xml:space="preserve">  无形资产摊销费用</w:t>
            </w:r>
          </w:p>
        </w:tc>
        <w:tc>
          <w:tcPr>
            <w:tcW w:w="1667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667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66" w:type="dxa"/>
            <w:shd w:val="clear" w:color="FFFFFF" w:fill="FFFFFF"/>
          </w:tcPr>
          <w:p>
            <w:pPr>
              <w:widowControl w:val="0"/>
              <w:jc w:val="left"/>
            </w:pPr>
            <w:r>
              <w:rPr>
                <w:position w:val="-1"/>
                <w:sz w:val="20"/>
              </w:rPr>
              <w:t xml:space="preserve">  其他单位管理费用</w:t>
            </w:r>
          </w:p>
        </w:tc>
        <w:tc>
          <w:tcPr>
            <w:tcW w:w="1667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  <w:tc>
          <w:tcPr>
            <w:tcW w:w="1667" w:type="dxa"/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666" w:type="dxa"/>
            <w:tcBorders>
              <w:top w:val="single" w:color="auto" w:sz="4" w:space="0"/>
              <w:bottom w:val="single" w:color="auto" w:sz="4" w:space="0"/>
            </w:tcBorders>
            <w:shd w:val="clear" w:color="FFFFFF" w:fill="FFFFFF"/>
          </w:tcPr>
          <w:p>
            <w:pPr>
              <w:widowControl w:val="0"/>
              <w:jc w:val="center"/>
            </w:pPr>
            <w:r>
              <w:rPr>
                <w:b/>
                <w:position w:val="-1"/>
                <w:sz w:val="20"/>
              </w:rPr>
              <w:t>合计</w:t>
            </w:r>
          </w:p>
        </w:tc>
        <w:tc>
          <w:tcPr>
            <w:tcW w:w="1667" w:type="dxa"/>
            <w:tcBorders>
              <w:top w:val="single" w:color="auto" w:sz="4" w:space="0"/>
              <w:bottom w:val="single" w:color="auto" w:sz="4" w:space="0"/>
            </w:tcBorders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1,244.21</w:t>
            </w:r>
          </w:p>
        </w:tc>
        <w:tc>
          <w:tcPr>
            <w:tcW w:w="1667" w:type="dxa"/>
            <w:tcBorders>
              <w:top w:val="single" w:color="auto" w:sz="4" w:space="0"/>
              <w:bottom w:val="single" w:color="auto" w:sz="4" w:space="0"/>
            </w:tcBorders>
            <w:shd w:val="clear" w:color="FFFFFF" w:fill="FFFFFF"/>
          </w:tcPr>
          <w:p>
            <w:pPr>
              <w:widowControl w:val="0"/>
              <w:jc w:val="right"/>
            </w:pPr>
            <w:r>
              <w:rPr>
                <w:position w:val="-1"/>
                <w:sz w:val="20"/>
              </w:rPr>
              <w:t>0.00</w:t>
            </w:r>
          </w:p>
        </w:tc>
      </w:tr>
    </w:tbl>
    <w:p>
      <w:pPr>
        <w:rPr>
          <w:b/>
          <w:bCs/>
          <w:sz w:val="22"/>
          <w:szCs w:val="22"/>
        </w:rPr>
      </w:pPr>
    </w:p>
    <w:p>
      <w:pPr>
        <w:pStyle w:val="110"/>
        <w:spacing w:before="240" w:after="240"/>
        <w:ind w:firstLine="643"/>
        <w:outlineLvl w:val="3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（23）经营费用明细信息如下：</w:t>
      </w:r>
    </w:p>
    <w:tbl>
      <w:tblPr>
        <w:tblStyle w:val="3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附表</w:t>
            </w:r>
            <w:r>
              <w:rPr>
                <w:sz w:val="22"/>
                <w:szCs w:val="22"/>
              </w:rPr>
              <w:t>2</w:t>
            </w:r>
            <w:r>
              <w:rPr>
                <w:rFonts w:hint="eastAsia"/>
                <w:sz w:val="22"/>
                <w:szCs w:val="22"/>
              </w:rPr>
              <w:t>3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</w:rPr>
              <w:t>附表23为空表（略）</w:t>
            </w:r>
          </w:p>
        </w:tc>
      </w:tr>
    </w:tbl>
    <w:p>
      <w:pPr>
        <w:tabs>
          <w:tab w:val="left" w:pos="4242"/>
          <w:tab w:val="left" w:pos="6754"/>
        </w:tabs>
        <w:spacing w:line="20" w:lineRule="exact"/>
        <w:rPr>
          <w:b/>
          <w:bCs/>
          <w:sz w:val="20"/>
          <w:szCs w:val="20"/>
        </w:rPr>
      </w:pPr>
    </w:p>
    <w:p/>
    <w:p>
      <w:pPr>
        <w:pStyle w:val="110"/>
        <w:spacing w:before="240" w:after="240"/>
        <w:ind w:firstLine="643"/>
        <w:outlineLvl w:val="3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（24）商品和服务费用明细信息如下：</w:t>
      </w:r>
    </w:p>
    <w:tbl>
      <w:tblPr>
        <w:tblStyle w:val="3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附表</w:t>
            </w:r>
            <w:r>
              <w:rPr>
                <w:sz w:val="22"/>
                <w:szCs w:val="22"/>
              </w:rPr>
              <w:t>2</w:t>
            </w:r>
            <w:r>
              <w:rPr>
                <w:rFonts w:hint="eastAsia"/>
                <w:sz w:val="22"/>
                <w:szCs w:val="22"/>
              </w:rPr>
              <w:t>4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</w:rPr>
              <w:t>附表24为空表（略）</w:t>
            </w:r>
          </w:p>
        </w:tc>
      </w:tr>
    </w:tbl>
    <w:p>
      <w:pPr>
        <w:spacing w:line="20" w:lineRule="exact"/>
        <w:jc w:val="right"/>
        <w:rPr>
          <w:sz w:val="20"/>
          <w:szCs w:val="20"/>
        </w:rPr>
      </w:pPr>
    </w:p>
    <w:p>
      <w:pPr>
        <w:rPr>
          <w:sz w:val="22"/>
          <w:szCs w:val="22"/>
        </w:rPr>
      </w:pPr>
    </w:p>
    <w:p>
      <w:pPr>
        <w:pStyle w:val="4"/>
        <w:numPr>
          <w:ilvl w:val="0"/>
          <w:numId w:val="2"/>
        </w:numPr>
        <w:spacing w:before="0" w:after="0" w:line="360" w:lineRule="auto"/>
        <w:ind w:firstLine="602"/>
        <w:jc w:val="left"/>
        <w:rPr>
          <w:rFonts w:ascii="仿宋" w:hAnsi="仿宋" w:eastAsia="仿宋"/>
          <w:b/>
        </w:rPr>
      </w:pPr>
      <w:bookmarkStart w:id="68" w:name="_Toc35500812"/>
      <w:bookmarkStart w:id="69" w:name="_Toc35452586"/>
      <w:r>
        <w:rPr>
          <w:rFonts w:hint="eastAsia" w:ascii="仿宋" w:hAnsi="仿宋" w:eastAsia="仿宋"/>
          <w:b/>
        </w:rPr>
        <w:t>需要说明的其他事项。</w:t>
      </w:r>
      <w:bookmarkEnd w:id="68"/>
      <w:bookmarkEnd w:id="69"/>
    </w:p>
    <w:p>
      <w:pPr>
        <w:pStyle w:val="110"/>
        <w:spacing w:line="580" w:lineRule="exact"/>
        <w:ind w:firstLine="64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（1）重要或有事项说明。逐笔披露政府部门或有事项的事由和金额，如担保事项、未决诉讼或未决仲裁等，若无法预计金额应说明理由。</w:t>
      </w:r>
    </w:p>
    <w:p>
      <w:pPr>
        <w:pStyle w:val="110"/>
        <w:spacing w:line="580" w:lineRule="exact"/>
        <w:ind w:firstLine="64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（2）以名义金额计量的资产名称、数量等情况，以及以名义金额计量理由的说明。</w:t>
      </w:r>
    </w:p>
    <w:p>
      <w:pPr>
        <w:pStyle w:val="110"/>
        <w:spacing w:line="580" w:lineRule="exact"/>
        <w:ind w:firstLine="64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（3）使用债务资金形成的固定资产、公共基础设施、保障性住房等资产的账面价值、使用情况、收益情况及与此相关的债务偿还情况。</w:t>
      </w:r>
    </w:p>
    <w:p>
      <w:pPr>
        <w:pStyle w:val="110"/>
        <w:spacing w:line="580" w:lineRule="exact"/>
        <w:ind w:firstLine="64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（4）重要资产置换、无偿调入（出）、捐入（出）、报废、重大毁损等情况的说明。</w:t>
      </w:r>
    </w:p>
    <w:p>
      <w:pPr>
        <w:pStyle w:val="110"/>
        <w:spacing w:line="580" w:lineRule="exact"/>
        <w:ind w:firstLine="64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（5）对于政府部门管理的公共基础设施、文物文化资产、保障性住房、自然资源资产等重要资产，披露种类和实物量等相关信息。</w:t>
      </w:r>
    </w:p>
    <w:p>
      <w:pPr>
        <w:pStyle w:val="110"/>
        <w:spacing w:line="580" w:lineRule="exact"/>
        <w:ind w:firstLine="64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（6）政府会计具体准则中要求附注披露的其他内容，以及其他未在报表中列示，但对政府部门财务状况有重大影响的事项。</w:t>
      </w:r>
    </w:p>
    <w:p/>
    <w:p>
      <w:pPr>
        <w:rPr>
          <w:rFonts w:ascii="黑体" w:hAnsi="黑体" w:eastAsia="黑体" w:cs="Times New Roman"/>
          <w:b/>
          <w:kern w:val="44"/>
          <w:sz w:val="30"/>
          <w:szCs w:val="30"/>
        </w:rPr>
      </w:pPr>
      <w:bookmarkStart w:id="70" w:name="_Toc35500813"/>
      <w:bookmarkStart w:id="71" w:name="_Toc503548887"/>
      <w:bookmarkStart w:id="72" w:name="_Toc436083530"/>
      <w:bookmarkStart w:id="73" w:name="_Toc35452587"/>
      <w:r>
        <w:rPr>
          <w:rFonts w:ascii="黑体" w:hAnsi="黑体" w:eastAsia="黑体"/>
          <w:sz w:val="30"/>
          <w:szCs w:val="30"/>
        </w:rPr>
        <w:br w:type="page"/>
      </w:r>
    </w:p>
    <w:p>
      <w:pPr>
        <w:pStyle w:val="2"/>
        <w:spacing w:before="240" w:after="240" w:line="360" w:lineRule="auto"/>
        <w:rPr>
          <w:rFonts w:ascii="黑体" w:hAnsi="黑体" w:eastAsia="黑体"/>
          <w:color w:val="auto"/>
          <w:sz w:val="30"/>
          <w:szCs w:val="30"/>
        </w:rPr>
      </w:pPr>
      <w:r>
        <w:rPr>
          <w:rFonts w:hint="eastAsia" w:ascii="黑体" w:hAnsi="黑体" w:eastAsia="黑体"/>
          <w:color w:val="auto"/>
          <w:sz w:val="30"/>
          <w:szCs w:val="30"/>
        </w:rPr>
        <w:t>二、政府部门财务分析</w:t>
      </w:r>
      <w:bookmarkEnd w:id="70"/>
      <w:bookmarkEnd w:id="71"/>
      <w:bookmarkEnd w:id="72"/>
      <w:bookmarkEnd w:id="73"/>
    </w:p>
    <w:p>
      <w:pPr>
        <w:pStyle w:val="4"/>
        <w:spacing w:before="0" w:after="0" w:line="360" w:lineRule="auto"/>
        <w:ind w:firstLine="602"/>
        <w:jc w:val="left"/>
        <w:rPr>
          <w:rFonts w:ascii="楷体" w:hAnsi="楷体" w:eastAsia="楷体" w:cs="黑体"/>
          <w:b/>
          <w:spacing w:val="-8"/>
        </w:rPr>
      </w:pPr>
      <w:bookmarkStart w:id="74" w:name="_Toc503548888"/>
      <w:bookmarkStart w:id="75" w:name="_Toc436083531"/>
      <w:bookmarkStart w:id="76" w:name="_Toc35452588"/>
      <w:bookmarkStart w:id="77" w:name="_Toc35500814"/>
      <w:r>
        <w:rPr>
          <w:rFonts w:hint="eastAsia" w:ascii="楷体" w:hAnsi="楷体" w:eastAsia="楷体"/>
          <w:b/>
        </w:rPr>
        <w:t>（一）</w:t>
      </w:r>
      <w:bookmarkEnd w:id="74"/>
      <w:bookmarkEnd w:id="75"/>
      <w:bookmarkStart w:id="78" w:name="_Toc436083532"/>
      <w:bookmarkStart w:id="79" w:name="_Toc503548889"/>
      <w:r>
        <w:rPr>
          <w:rFonts w:ascii="楷体" w:hAnsi="楷体" w:eastAsia="楷体" w:cs="黑体"/>
          <w:b/>
          <w:spacing w:val="-8"/>
        </w:rPr>
        <w:t>政府部门工作目标完成情况。</w:t>
      </w:r>
      <w:bookmarkEnd w:id="76"/>
      <w:bookmarkEnd w:id="77"/>
    </w:p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结合政府部门职能、工作任务、相关政策要求等，说明政府部门年度工作目标计划及执行情况、绩效目标及完成情况。</w:t>
      </w:r>
    </w:p>
    <w:p>
      <w:pPr>
        <w:pStyle w:val="4"/>
        <w:spacing w:before="0" w:after="0" w:line="360" w:lineRule="auto"/>
        <w:ind w:firstLine="602"/>
        <w:jc w:val="left"/>
        <w:rPr>
          <w:rFonts w:ascii="楷体" w:hAnsi="楷体" w:eastAsia="楷体"/>
          <w:b/>
        </w:rPr>
      </w:pPr>
      <w:bookmarkStart w:id="80" w:name="_Toc35500815"/>
      <w:r>
        <w:rPr>
          <w:rFonts w:hint="eastAsia" w:ascii="楷体" w:hAnsi="楷体" w:eastAsia="楷体"/>
          <w:b/>
        </w:rPr>
        <w:t>（二）</w:t>
      </w:r>
      <w:bookmarkEnd w:id="78"/>
      <w:bookmarkEnd w:id="79"/>
      <w:r>
        <w:rPr>
          <w:rFonts w:ascii="楷体" w:hAnsi="楷体" w:eastAsia="楷体"/>
          <w:b/>
        </w:rPr>
        <w:t>政府部门财务状况分析。</w:t>
      </w:r>
      <w:bookmarkEnd w:id="80"/>
    </w:p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1.分析政府部门的货币资金、长期投资、固定资产、在建</w:t>
      </w:r>
      <w:r>
        <w:rPr>
          <w:rFonts w:hint="eastAsia" w:ascii="仿宋" w:hAnsi="仿宋" w:eastAsia="仿宋"/>
          <w:sz w:val="32"/>
          <w:szCs w:val="32"/>
        </w:rPr>
        <w:t>工程、公共基础设施、政府储备物资、保障性住房等重要资产</w:t>
      </w:r>
      <w:r>
        <w:rPr>
          <w:rFonts w:ascii="仿宋" w:hAnsi="仿宋" w:eastAsia="仿宋"/>
          <w:sz w:val="32"/>
          <w:szCs w:val="32"/>
        </w:rPr>
        <w:t>项目的结构特点和变化情况，并评估对政府部门提供公共服务能力的影响。</w:t>
      </w:r>
    </w:p>
    <w:p>
      <w:pPr>
        <w:spacing w:line="360" w:lineRule="auto"/>
        <w:jc w:val="center"/>
      </w:pPr>
      <w:r>
        <w:t>资产结构分析</w:t>
      </w:r>
      <w:r>
        <w:rPr>
          <w:rFonts w:hint="eastAsia"/>
        </w:rPr>
        <w:t>图：</w:t>
      </w:r>
    </w:p>
    <w:p>
      <w:pPr>
        <w:spacing w:line="360" w:lineRule="auto"/>
        <w:ind w:left="-720" w:leftChars="-300"/>
        <w:jc w:val="center"/>
      </w:pPr>
      <w:r>
        <w:drawing>
          <wp:inline distT="0" distB="0" distL="0" distR="0">
            <wp:extent cx="6350000" cy="3162300"/>
            <wp:effectExtent l="0" t="0" r="0" b="0"/>
            <wp:docPr id="1" name="Drawing 0" descr="资产结构分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wing 0" descr="资产结构分析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35000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10"/>
        <w:spacing w:line="360" w:lineRule="auto"/>
        <w:ind w:firstLine="480"/>
        <w:jc w:val="center"/>
        <w:rPr>
          <w:rFonts w:asciiTheme="minorEastAsia" w:hAnsiTheme="minorEastAsia" w:eastAsiaTheme="minorEastAsia"/>
          <w:sz w:val="24"/>
          <w:szCs w:val="24"/>
        </w:rPr>
      </w:pPr>
    </w:p>
    <w:p>
      <w:pPr>
        <w:spacing w:line="360" w:lineRule="auto"/>
        <w:jc w:val="center"/>
      </w:pPr>
      <w:r>
        <w:t>重要资产项目年度情况分析</w:t>
      </w:r>
      <w:r>
        <w:rPr>
          <w:rFonts w:hint="eastAsia"/>
        </w:rPr>
        <w:t>图:</w:t>
      </w:r>
    </w:p>
    <w:p>
      <w:pPr>
        <w:spacing w:line="360" w:lineRule="auto"/>
        <w:ind w:left="-720" w:leftChars="-300"/>
        <w:jc w:val="center"/>
      </w:pPr>
      <w:r>
        <w:drawing>
          <wp:inline distT="0" distB="0" distL="0" distR="0">
            <wp:extent cx="6350000" cy="3162300"/>
            <wp:effectExtent l="0" t="0" r="0" b="0"/>
            <wp:docPr id="2" name="Drawing 1" descr="重要资产项目年度情况分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rawing 1" descr="重要资产项目年度情况分析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5000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</w:pPr>
    </w:p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2.结合短期借款、长期借款等重点负债项目的增减变化情</w:t>
      </w:r>
      <w:r>
        <w:rPr>
          <w:rFonts w:hint="eastAsia" w:ascii="仿宋" w:hAnsi="仿宋" w:eastAsia="仿宋"/>
          <w:sz w:val="32"/>
          <w:szCs w:val="32"/>
        </w:rPr>
        <w:t>况，分析政府部门债务规模和债务结构等。</w:t>
      </w:r>
    </w:p>
    <w:p>
      <w:pPr>
        <w:spacing w:line="360" w:lineRule="auto"/>
        <w:jc w:val="center"/>
      </w:pPr>
      <w:r>
        <w:rPr>
          <w:rFonts w:hint="eastAsia"/>
        </w:rPr>
        <w:t>部门债务分析图：</w:t>
      </w:r>
    </w:p>
    <w:p>
      <w:pPr>
        <w:pStyle w:val="110"/>
        <w:spacing w:line="360" w:lineRule="auto"/>
        <w:ind w:left="-720" w:leftChars="-300" w:firstLine="0" w:firstLineChars="0"/>
        <w:jc w:val="center"/>
        <w:rPr>
          <w:rFonts w:ascii="新宋体" w:hAnsi="新宋体" w:eastAsia="新宋体"/>
          <w:sz w:val="24"/>
          <w:szCs w:val="24"/>
        </w:rPr>
      </w:pPr>
      <w:r>
        <w:rPr>
          <w:rFonts w:ascii="新宋体" w:hAnsi="新宋体" w:eastAsia="新宋体"/>
          <w:sz w:val="24"/>
          <w:szCs w:val="24"/>
        </w:rPr>
        <w:drawing>
          <wp:inline distT="0" distB="0" distL="0" distR="0">
            <wp:extent cx="6350000" cy="3162300"/>
            <wp:effectExtent l="0" t="0" r="0" b="0"/>
            <wp:docPr id="3" name="Drawing 2" descr="部门债务结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rawing 2" descr="部门债务结构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35000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</w:p>
    <w:p>
      <w:pPr>
        <w:spacing w:line="360" w:lineRule="auto"/>
        <w:jc w:val="center"/>
      </w:pPr>
      <w:r>
        <w:t>重要</w:t>
      </w:r>
      <w:r>
        <w:rPr>
          <w:rFonts w:hint="eastAsia"/>
        </w:rPr>
        <w:t>负债变化</w:t>
      </w:r>
      <w:r>
        <w:t>分析</w:t>
      </w:r>
      <w:r>
        <w:rPr>
          <w:rFonts w:hint="eastAsia"/>
        </w:rPr>
        <w:t>图:</w:t>
      </w:r>
    </w:p>
    <w:p>
      <w:pPr>
        <w:spacing w:line="360" w:lineRule="auto"/>
        <w:ind w:left="-720" w:leftChars="-300"/>
        <w:jc w:val="center"/>
      </w:pPr>
      <w:r>
        <w:rPr>
          <w:rFonts w:hint="eastAsia"/>
        </w:rPr>
        <w:drawing>
          <wp:inline distT="0" distB="0" distL="0" distR="0">
            <wp:extent cx="6350000" cy="3162300"/>
            <wp:effectExtent l="0" t="0" r="0" b="0"/>
            <wp:docPr id="4" name="Drawing 3" descr="重要负债变化分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rawing 3" descr="重要负债变化分析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35000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3.运用资产负债率、现金比率、流动比率等指标，分析政府部门财务状况。</w:t>
      </w:r>
    </w:p>
    <w:p>
      <w:pPr>
        <w:spacing w:line="360" w:lineRule="auto"/>
        <w:jc w:val="center"/>
      </w:pPr>
      <w:r>
        <w:rPr>
          <w:rFonts w:hint="eastAsia"/>
        </w:rPr>
        <w:t>部门财务状况分析图:</w:t>
      </w:r>
    </w:p>
    <w:p>
      <w:pPr>
        <w:spacing w:line="360" w:lineRule="auto"/>
        <w:ind w:left="-720" w:leftChars="-300"/>
        <w:jc w:val="center"/>
      </w:pPr>
      <w:r>
        <w:drawing>
          <wp:inline distT="0" distB="0" distL="0" distR="0">
            <wp:extent cx="6350000" cy="3162300"/>
            <wp:effectExtent l="0" t="0" r="0" b="0"/>
            <wp:docPr id="5" name="Drawing 4" descr="部门财务分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rawing 4" descr="部门财务分析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5000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</w:p>
    <w:p>
      <w:pPr>
        <w:pStyle w:val="4"/>
        <w:spacing w:before="0" w:after="0" w:line="360" w:lineRule="auto"/>
        <w:ind w:firstLine="602"/>
        <w:jc w:val="left"/>
        <w:rPr>
          <w:rFonts w:ascii="楷体" w:hAnsi="楷体" w:eastAsia="楷体"/>
          <w:b/>
        </w:rPr>
      </w:pPr>
      <w:bookmarkStart w:id="81" w:name="_Toc436083533"/>
      <w:bookmarkStart w:id="82" w:name="_Toc503548890"/>
      <w:bookmarkStart w:id="83" w:name="_Toc35500816"/>
      <w:r>
        <w:rPr>
          <w:rFonts w:hint="eastAsia" w:ascii="楷体" w:hAnsi="楷体" w:eastAsia="楷体"/>
          <w:b/>
        </w:rPr>
        <w:t>（三）</w:t>
      </w:r>
      <w:bookmarkEnd w:id="81"/>
      <w:bookmarkEnd w:id="82"/>
      <w:r>
        <w:rPr>
          <w:rFonts w:ascii="楷体" w:hAnsi="楷体" w:eastAsia="楷体"/>
          <w:b/>
        </w:rPr>
        <w:t>政府部门运行情况分析。</w:t>
      </w:r>
      <w:bookmarkEnd w:id="83"/>
    </w:p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1.分析政府部门的收入规模、结构及来源分布、重点收入项目的比重和变化趋势，以及经济形势、相关财政政策等对政府部门收入变动的影响等。</w:t>
      </w:r>
    </w:p>
    <w:p>
      <w:pPr>
        <w:spacing w:line="360" w:lineRule="auto"/>
        <w:ind w:firstLine="240"/>
        <w:jc w:val="center"/>
      </w:pPr>
      <w:r>
        <w:rPr>
          <w:rFonts w:hint="eastAsia"/>
        </w:rPr>
        <w:t>收入类结构分析图:</w:t>
      </w:r>
    </w:p>
    <w:p>
      <w:pPr>
        <w:spacing w:line="360" w:lineRule="auto"/>
        <w:ind w:left="-720" w:leftChars="-300"/>
        <w:jc w:val="center"/>
      </w:pPr>
      <w:r>
        <w:drawing>
          <wp:inline distT="0" distB="0" distL="0" distR="0">
            <wp:extent cx="6350000" cy="3517900"/>
            <wp:effectExtent l="0" t="0" r="0" b="0"/>
            <wp:docPr id="6" name="Drawing 5" descr="收入结构分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rawing 5" descr="收入结构分析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350000" cy="351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10"/>
        <w:spacing w:line="360" w:lineRule="auto"/>
        <w:ind w:firstLine="600"/>
        <w:jc w:val="both"/>
      </w:pPr>
    </w:p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2.分析政府部门费用规模、构成及变化情况，特别是政府部门控制行政成本的政策、投融资情况及对费用变动的影响等。</w:t>
      </w:r>
    </w:p>
    <w:p>
      <w:pPr>
        <w:spacing w:line="360" w:lineRule="auto"/>
        <w:jc w:val="center"/>
      </w:pPr>
      <w:r>
        <w:rPr>
          <w:rFonts w:hint="eastAsia"/>
        </w:rPr>
        <w:t>费用(按科目)分析图：</w:t>
      </w:r>
    </w:p>
    <w:p>
      <w:pPr>
        <w:spacing w:line="360" w:lineRule="auto"/>
        <w:ind w:left="-720" w:leftChars="-300"/>
        <w:jc w:val="center"/>
      </w:pPr>
      <w:r>
        <w:rPr>
          <w:rFonts w:hint="eastAsia"/>
        </w:rPr>
        <w:drawing>
          <wp:inline distT="0" distB="0" distL="0" distR="0">
            <wp:extent cx="6350000" cy="3517900"/>
            <wp:effectExtent l="0" t="0" r="0" b="0"/>
            <wp:docPr id="7" name="Drawing 6" descr="费用按科目分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rawing 6" descr="费用按科目分析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50000" cy="351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  <w:r>
        <w:rPr>
          <w:rFonts w:hint="eastAsia"/>
        </w:rPr>
        <w:t>费用(按经济性质)分析图：</w:t>
      </w:r>
    </w:p>
    <w:p>
      <w:pPr>
        <w:spacing w:line="360" w:lineRule="auto"/>
        <w:ind w:left="-720" w:leftChars="-300"/>
        <w:jc w:val="center"/>
      </w:pPr>
      <w:r>
        <w:rPr>
          <w:rFonts w:hint="eastAsia"/>
        </w:rPr>
        <w:drawing>
          <wp:inline distT="0" distB="0" distL="0" distR="0">
            <wp:extent cx="6350000" cy="3517900"/>
            <wp:effectExtent l="0" t="0" r="0" b="0"/>
            <wp:docPr id="8" name="Drawing 7" descr="费用按经济性质分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Drawing 7" descr="费用按经济性质分析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350000" cy="351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</w:p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3.运用政府部门的收入费用率等指标，分析政府部门收入与费用的比例情况。</w:t>
      </w:r>
    </w:p>
    <w:p>
      <w:pPr>
        <w:spacing w:line="360" w:lineRule="auto"/>
        <w:jc w:val="center"/>
      </w:pPr>
      <w:r>
        <w:rPr>
          <w:rFonts w:hint="eastAsia"/>
        </w:rPr>
        <w:t>部门财务状况分析图:</w:t>
      </w:r>
    </w:p>
    <w:p>
      <w:pPr>
        <w:spacing w:line="360" w:lineRule="auto"/>
        <w:ind w:left="-720" w:leftChars="-300"/>
        <w:jc w:val="center"/>
      </w:pPr>
      <w:r>
        <w:drawing>
          <wp:inline distT="0" distB="0" distL="0" distR="0">
            <wp:extent cx="6350000" cy="3162300"/>
            <wp:effectExtent l="0" t="0" r="0" b="0"/>
            <wp:docPr id="9" name="Drawing 8" descr="部门财务分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Drawing 8" descr="部门财务分析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5000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</w:p>
    <w:p>
      <w:pPr>
        <w:pStyle w:val="4"/>
        <w:spacing w:before="0" w:after="0" w:line="360" w:lineRule="auto"/>
        <w:ind w:firstLine="602"/>
        <w:jc w:val="left"/>
        <w:rPr>
          <w:rFonts w:ascii="楷体" w:hAnsi="楷体" w:eastAsia="楷体"/>
          <w:b/>
        </w:rPr>
      </w:pPr>
      <w:bookmarkStart w:id="84" w:name="_Toc503548891"/>
      <w:bookmarkStart w:id="85" w:name="_Toc436083534"/>
      <w:bookmarkStart w:id="86" w:name="_Toc35500817"/>
      <w:bookmarkStart w:id="87" w:name="_Toc35452589"/>
      <w:r>
        <w:rPr>
          <w:rFonts w:hint="eastAsia" w:ascii="楷体" w:hAnsi="楷体" w:eastAsia="楷体"/>
          <w:b/>
        </w:rPr>
        <w:t>（四）</w:t>
      </w:r>
      <w:bookmarkEnd w:id="84"/>
      <w:bookmarkEnd w:id="85"/>
      <w:r>
        <w:rPr>
          <w:rFonts w:ascii="楷体" w:hAnsi="楷体" w:eastAsia="楷体"/>
          <w:b/>
        </w:rPr>
        <w:t>政府部门财务管理情况。</w:t>
      </w:r>
      <w:bookmarkEnd w:id="86"/>
      <w:bookmarkEnd w:id="87"/>
    </w:p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从部门预算管理、内控管理、资产管理、绩效管理、人才</w:t>
      </w:r>
      <w:r>
        <w:rPr>
          <w:rFonts w:ascii="仿宋" w:hAnsi="仿宋" w:eastAsia="仿宋"/>
          <w:sz w:val="32"/>
          <w:szCs w:val="32"/>
        </w:rPr>
        <w:t xml:space="preserve"> 队伍建设等方面反映部门加强财务管理的主要措施和取得成效。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ascii="仿宋" w:hAnsi="仿宋" w:eastAsia="仿宋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仿宋" w:hAnsi="仿宋" w:eastAsia="仿宋"/>
      </w:rPr>
      <w:id w:val="1038315459"/>
    </w:sdtPr>
    <w:sdtEndPr>
      <w:rPr>
        <w:rFonts w:ascii="仿宋" w:hAnsi="仿宋" w:eastAsia="仿宋"/>
      </w:rPr>
    </w:sdtEndPr>
    <w:sdtContent>
      <w:sdt>
        <w:sdtPr>
          <w:rPr>
            <w:rFonts w:ascii="仿宋" w:hAnsi="仿宋" w:eastAsia="仿宋"/>
          </w:rPr>
          <w:id w:val="-242650556"/>
          <w:showingPlcHdr/>
        </w:sdtPr>
        <w:sdtEndPr>
          <w:rPr>
            <w:rFonts w:ascii="仿宋" w:hAnsi="仿宋" w:eastAsia="仿宋"/>
          </w:rPr>
        </w:sdtEndPr>
        <w:sdtContent>
          <w:p>
            <w:pPr>
              <w:pStyle w:val="21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 xml:space="preserve">     </w:t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3240024"/>
    </w:sdtPr>
    <w:sdtEndPr>
      <w:rPr>
        <w:rFonts w:ascii="Times New Roman" w:hAnsi="Times New Roman"/>
        <w:sz w:val="21"/>
        <w:szCs w:val="21"/>
      </w:rPr>
    </w:sdtEndPr>
    <w:sdtContent>
      <w:p>
        <w:pPr>
          <w:pStyle w:val="21"/>
          <w:jc w:val="center"/>
          <w:rPr>
            <w:rFonts w:ascii="Times New Roman" w:hAnsi="Times New Roman"/>
            <w:sz w:val="21"/>
            <w:szCs w:val="21"/>
          </w:rPr>
        </w:pPr>
        <w:r>
          <w:rPr>
            <w:rFonts w:ascii="Times New Roman" w:hAnsi="Times New Roman"/>
            <w:sz w:val="21"/>
            <w:szCs w:val="21"/>
          </w:rPr>
          <w:fldChar w:fldCharType="begin"/>
        </w:r>
        <w:r>
          <w:rPr>
            <w:rFonts w:ascii="Times New Roman" w:hAnsi="Times New Roman"/>
            <w:sz w:val="21"/>
            <w:szCs w:val="21"/>
          </w:rPr>
          <w:instrText xml:space="preserve">PAGE   \* MERGEFORMAT</w:instrText>
        </w:r>
        <w:r>
          <w:rPr>
            <w:rFonts w:ascii="Times New Roman" w:hAnsi="Times New Roman"/>
            <w:sz w:val="21"/>
            <w:szCs w:val="21"/>
          </w:rPr>
          <w:fldChar w:fldCharType="separate"/>
        </w:r>
        <w:r>
          <w:rPr>
            <w:rFonts w:ascii="Times New Roman" w:hAnsi="Times New Roman"/>
            <w:sz w:val="21"/>
            <w:szCs w:val="21"/>
            <w:lang w:val="zh-CN"/>
          </w:rPr>
          <w:t>1</w:t>
        </w:r>
        <w:r>
          <w:rPr>
            <w:rFonts w:ascii="Times New Roman" w:hAnsi="Times New Roman"/>
            <w:sz w:val="21"/>
            <w:szCs w:val="21"/>
          </w:rPr>
          <w:fldChar w:fldCharType="end"/>
        </w:r>
      </w:p>
    </w:sdtContent>
  </w:sdt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21559114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21"/>
          <w:jc w:val="center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11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21"/>
      <w:jc w:val="center"/>
      <w:rPr>
        <w:rFonts w:ascii="仿宋" w:hAnsi="仿宋" w:eastAsia="仿宋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id="0">
    <w:p>
      <w:pPr>
        <w:pStyle w:val="26"/>
        <w:rPr>
          <w:rFonts w:asciiTheme="minorEastAsia" w:hAnsiTheme="minorEastAsia" w:eastAsiaTheme="minorEastAsia"/>
          <w:sz w:val="21"/>
          <w:szCs w:val="21"/>
        </w:rPr>
      </w:pPr>
      <w:r>
        <w:rPr>
          <w:rStyle w:val="42"/>
        </w:rPr>
        <w:footnoteRef/>
      </w:r>
      <w:r>
        <w:rPr>
          <w:rFonts w:asciiTheme="minorEastAsia" w:hAnsiTheme="minorEastAsia" w:eastAsiaTheme="minorEastAsia"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/>
          <w:sz w:val="21"/>
          <w:szCs w:val="21"/>
        </w:rPr>
        <w:t>表</w:t>
      </w:r>
      <w:r>
        <w:rPr>
          <w:rFonts w:asciiTheme="minorEastAsia" w:hAnsiTheme="minorEastAsia" w:eastAsiaTheme="minorEastAsia"/>
          <w:sz w:val="21"/>
          <w:szCs w:val="21"/>
        </w:rPr>
        <w:t xml:space="preserve"> 2-2 的“其他费用”包括“业务活动费用”</w:t>
      </w:r>
      <w:r>
        <w:rPr>
          <w:rFonts w:hint="eastAsia" w:asciiTheme="minorEastAsia" w:hAnsiTheme="minorEastAsia" w:eastAsiaTheme="minorEastAsia"/>
          <w:sz w:val="21"/>
          <w:szCs w:val="21"/>
        </w:rPr>
        <w:t>、</w:t>
      </w:r>
      <w:r>
        <w:rPr>
          <w:rFonts w:asciiTheme="minorEastAsia" w:hAnsiTheme="minorEastAsia" w:eastAsiaTheme="minorEastAsia"/>
          <w:sz w:val="21"/>
          <w:szCs w:val="21"/>
        </w:rPr>
        <w:t>“单位管理费用”</w:t>
      </w:r>
      <w:r>
        <w:rPr>
          <w:rFonts w:hint="eastAsia" w:asciiTheme="minorEastAsia" w:hAnsiTheme="minorEastAsia" w:eastAsiaTheme="minorEastAsia"/>
          <w:sz w:val="21"/>
          <w:szCs w:val="21"/>
        </w:rPr>
        <w:t>、</w:t>
      </w:r>
      <w:r>
        <w:rPr>
          <w:rFonts w:asciiTheme="minorEastAsia" w:hAnsiTheme="minorEastAsia" w:eastAsiaTheme="minorEastAsia"/>
          <w:sz w:val="21"/>
          <w:szCs w:val="21"/>
        </w:rPr>
        <w:t>“经营费用”等会计科目中的其他部分。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1A62931"/>
    <w:multiLevelType w:val="singleLevel"/>
    <w:tmpl w:val="D1A62931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AC79617"/>
    <w:multiLevelType w:val="singleLevel"/>
    <w:tmpl w:val="1AC79617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bordersDoNotSurroundHeader w:val="1"/>
  <w:bordersDoNotSurroundFooter w:val="1"/>
  <w:hideSpellingErrors/>
  <w:documentProtection w:enforcement="0"/>
  <w:defaultTabStop w:val="420"/>
  <w:drawingGridHorizontalSpacing w:val="120"/>
  <w:drawingGridVerticalSpacing w:val="163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numFmt w:val="decimalEnclosedCircleChinese"/>
  </w:footnotePr>
  <w:compat>
    <w:balanceSingleByteDoubleByteWidth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00A"/>
    <w:rsid w:val="00000769"/>
    <w:rsid w:val="00001875"/>
    <w:rsid w:val="00001DA2"/>
    <w:rsid w:val="00003542"/>
    <w:rsid w:val="00003D4F"/>
    <w:rsid w:val="00005D80"/>
    <w:rsid w:val="00006043"/>
    <w:rsid w:val="000073F5"/>
    <w:rsid w:val="0001053B"/>
    <w:rsid w:val="000116C9"/>
    <w:rsid w:val="00012C4B"/>
    <w:rsid w:val="00012EB0"/>
    <w:rsid w:val="00013EC7"/>
    <w:rsid w:val="0001401B"/>
    <w:rsid w:val="00014AA7"/>
    <w:rsid w:val="00015324"/>
    <w:rsid w:val="00016B3D"/>
    <w:rsid w:val="00017068"/>
    <w:rsid w:val="00020A10"/>
    <w:rsid w:val="000220CF"/>
    <w:rsid w:val="00022E5B"/>
    <w:rsid w:val="00024E2E"/>
    <w:rsid w:val="00030B80"/>
    <w:rsid w:val="0003107E"/>
    <w:rsid w:val="0003429E"/>
    <w:rsid w:val="000355A9"/>
    <w:rsid w:val="00035C9B"/>
    <w:rsid w:val="000406AA"/>
    <w:rsid w:val="00042520"/>
    <w:rsid w:val="00043D78"/>
    <w:rsid w:val="00044F77"/>
    <w:rsid w:val="00045215"/>
    <w:rsid w:val="0004568F"/>
    <w:rsid w:val="00045AB1"/>
    <w:rsid w:val="00051605"/>
    <w:rsid w:val="000518FB"/>
    <w:rsid w:val="000550B8"/>
    <w:rsid w:val="00057002"/>
    <w:rsid w:val="00060A24"/>
    <w:rsid w:val="000648ED"/>
    <w:rsid w:val="000658F0"/>
    <w:rsid w:val="000671C8"/>
    <w:rsid w:val="00067E05"/>
    <w:rsid w:val="000705FA"/>
    <w:rsid w:val="00070862"/>
    <w:rsid w:val="00071A7A"/>
    <w:rsid w:val="00075C7E"/>
    <w:rsid w:val="00075F12"/>
    <w:rsid w:val="000774A6"/>
    <w:rsid w:val="00077526"/>
    <w:rsid w:val="000823CD"/>
    <w:rsid w:val="000838FB"/>
    <w:rsid w:val="00084BB6"/>
    <w:rsid w:val="000850F5"/>
    <w:rsid w:val="00086A07"/>
    <w:rsid w:val="000870A3"/>
    <w:rsid w:val="00090C8A"/>
    <w:rsid w:val="000922B9"/>
    <w:rsid w:val="000949F2"/>
    <w:rsid w:val="000958AE"/>
    <w:rsid w:val="00097B38"/>
    <w:rsid w:val="000A12FF"/>
    <w:rsid w:val="000A16A6"/>
    <w:rsid w:val="000A2130"/>
    <w:rsid w:val="000A22D9"/>
    <w:rsid w:val="000A44B0"/>
    <w:rsid w:val="000A4CD0"/>
    <w:rsid w:val="000A514F"/>
    <w:rsid w:val="000A60C9"/>
    <w:rsid w:val="000A7312"/>
    <w:rsid w:val="000A7E42"/>
    <w:rsid w:val="000B1C40"/>
    <w:rsid w:val="000B1C95"/>
    <w:rsid w:val="000B7274"/>
    <w:rsid w:val="000B7A45"/>
    <w:rsid w:val="000C0493"/>
    <w:rsid w:val="000C08B8"/>
    <w:rsid w:val="000C092E"/>
    <w:rsid w:val="000C0C01"/>
    <w:rsid w:val="000C0F1F"/>
    <w:rsid w:val="000C29C6"/>
    <w:rsid w:val="000C3DEA"/>
    <w:rsid w:val="000C48D6"/>
    <w:rsid w:val="000C490D"/>
    <w:rsid w:val="000C5B8A"/>
    <w:rsid w:val="000C6630"/>
    <w:rsid w:val="000D069C"/>
    <w:rsid w:val="000D2D84"/>
    <w:rsid w:val="000D575F"/>
    <w:rsid w:val="000D7026"/>
    <w:rsid w:val="000E296D"/>
    <w:rsid w:val="000E2AFB"/>
    <w:rsid w:val="000E552E"/>
    <w:rsid w:val="000E607C"/>
    <w:rsid w:val="000E7147"/>
    <w:rsid w:val="000F050D"/>
    <w:rsid w:val="000F0E6A"/>
    <w:rsid w:val="000F0E76"/>
    <w:rsid w:val="000F1A84"/>
    <w:rsid w:val="000F486C"/>
    <w:rsid w:val="00101331"/>
    <w:rsid w:val="00101871"/>
    <w:rsid w:val="00102186"/>
    <w:rsid w:val="00102256"/>
    <w:rsid w:val="00102702"/>
    <w:rsid w:val="0010314B"/>
    <w:rsid w:val="00103C6B"/>
    <w:rsid w:val="00104C9B"/>
    <w:rsid w:val="00105AEE"/>
    <w:rsid w:val="0010627C"/>
    <w:rsid w:val="00107B24"/>
    <w:rsid w:val="001107A6"/>
    <w:rsid w:val="001118AF"/>
    <w:rsid w:val="00111CD8"/>
    <w:rsid w:val="00112D8E"/>
    <w:rsid w:val="001142C8"/>
    <w:rsid w:val="001147E2"/>
    <w:rsid w:val="00115725"/>
    <w:rsid w:val="00115E97"/>
    <w:rsid w:val="0012075A"/>
    <w:rsid w:val="00122A2B"/>
    <w:rsid w:val="001249B1"/>
    <w:rsid w:val="00125531"/>
    <w:rsid w:val="00126554"/>
    <w:rsid w:val="00127BC8"/>
    <w:rsid w:val="00130483"/>
    <w:rsid w:val="00130C64"/>
    <w:rsid w:val="0013119C"/>
    <w:rsid w:val="001360A0"/>
    <w:rsid w:val="00136B58"/>
    <w:rsid w:val="0013729D"/>
    <w:rsid w:val="001378A2"/>
    <w:rsid w:val="00141101"/>
    <w:rsid w:val="00141CC6"/>
    <w:rsid w:val="00143282"/>
    <w:rsid w:val="00144A75"/>
    <w:rsid w:val="0014526F"/>
    <w:rsid w:val="0015075E"/>
    <w:rsid w:val="001511CD"/>
    <w:rsid w:val="001632D2"/>
    <w:rsid w:val="0016377B"/>
    <w:rsid w:val="001641DD"/>
    <w:rsid w:val="001649F2"/>
    <w:rsid w:val="0016697A"/>
    <w:rsid w:val="00167CC1"/>
    <w:rsid w:val="00167DF7"/>
    <w:rsid w:val="00172398"/>
    <w:rsid w:val="001728C1"/>
    <w:rsid w:val="00173869"/>
    <w:rsid w:val="0018105E"/>
    <w:rsid w:val="001856D7"/>
    <w:rsid w:val="00186343"/>
    <w:rsid w:val="00186921"/>
    <w:rsid w:val="001871E1"/>
    <w:rsid w:val="001879A6"/>
    <w:rsid w:val="00192BFF"/>
    <w:rsid w:val="00193CDE"/>
    <w:rsid w:val="001942C0"/>
    <w:rsid w:val="001A066C"/>
    <w:rsid w:val="001A0727"/>
    <w:rsid w:val="001A206F"/>
    <w:rsid w:val="001A50A4"/>
    <w:rsid w:val="001B1C30"/>
    <w:rsid w:val="001B1E04"/>
    <w:rsid w:val="001B22EA"/>
    <w:rsid w:val="001B331A"/>
    <w:rsid w:val="001B5606"/>
    <w:rsid w:val="001B57C1"/>
    <w:rsid w:val="001B6347"/>
    <w:rsid w:val="001C300B"/>
    <w:rsid w:val="001C449F"/>
    <w:rsid w:val="001C517D"/>
    <w:rsid w:val="001C53B3"/>
    <w:rsid w:val="001C553C"/>
    <w:rsid w:val="001C6110"/>
    <w:rsid w:val="001C74F9"/>
    <w:rsid w:val="001D0EC0"/>
    <w:rsid w:val="001D2EA7"/>
    <w:rsid w:val="001D6874"/>
    <w:rsid w:val="001D74A1"/>
    <w:rsid w:val="001E4D19"/>
    <w:rsid w:val="001E57FA"/>
    <w:rsid w:val="001F54C8"/>
    <w:rsid w:val="001F5A03"/>
    <w:rsid w:val="001F79E5"/>
    <w:rsid w:val="0020407F"/>
    <w:rsid w:val="0020598F"/>
    <w:rsid w:val="00206746"/>
    <w:rsid w:val="00206BB0"/>
    <w:rsid w:val="002076E3"/>
    <w:rsid w:val="00210A2B"/>
    <w:rsid w:val="002118F2"/>
    <w:rsid w:val="00214FEF"/>
    <w:rsid w:val="002175DD"/>
    <w:rsid w:val="00217E61"/>
    <w:rsid w:val="00217F6E"/>
    <w:rsid w:val="002209DF"/>
    <w:rsid w:val="00221E15"/>
    <w:rsid w:val="00224F54"/>
    <w:rsid w:val="00225950"/>
    <w:rsid w:val="00225E1C"/>
    <w:rsid w:val="00226734"/>
    <w:rsid w:val="00226EE9"/>
    <w:rsid w:val="00232060"/>
    <w:rsid w:val="00232F1D"/>
    <w:rsid w:val="00233FC4"/>
    <w:rsid w:val="00234B3B"/>
    <w:rsid w:val="00235F8B"/>
    <w:rsid w:val="00236D26"/>
    <w:rsid w:val="0024034A"/>
    <w:rsid w:val="002418CD"/>
    <w:rsid w:val="00241AA8"/>
    <w:rsid w:val="00242525"/>
    <w:rsid w:val="00242E1C"/>
    <w:rsid w:val="00243AED"/>
    <w:rsid w:val="00244DC8"/>
    <w:rsid w:val="00245188"/>
    <w:rsid w:val="0024707D"/>
    <w:rsid w:val="002512A3"/>
    <w:rsid w:val="00254782"/>
    <w:rsid w:val="0025565A"/>
    <w:rsid w:val="00255F1C"/>
    <w:rsid w:val="002565BE"/>
    <w:rsid w:val="002575F2"/>
    <w:rsid w:val="002578CB"/>
    <w:rsid w:val="00260466"/>
    <w:rsid w:val="00260805"/>
    <w:rsid w:val="00260A30"/>
    <w:rsid w:val="00260EEB"/>
    <w:rsid w:val="00262284"/>
    <w:rsid w:val="00262A7D"/>
    <w:rsid w:val="0026475C"/>
    <w:rsid w:val="00264D04"/>
    <w:rsid w:val="00264D9F"/>
    <w:rsid w:val="0026523B"/>
    <w:rsid w:val="00270F44"/>
    <w:rsid w:val="00271F2D"/>
    <w:rsid w:val="00272542"/>
    <w:rsid w:val="002744F3"/>
    <w:rsid w:val="00277626"/>
    <w:rsid w:val="00280B8A"/>
    <w:rsid w:val="00280F92"/>
    <w:rsid w:val="0028166B"/>
    <w:rsid w:val="00281E8E"/>
    <w:rsid w:val="002831B2"/>
    <w:rsid w:val="00291EB7"/>
    <w:rsid w:val="002924D5"/>
    <w:rsid w:val="00295DF2"/>
    <w:rsid w:val="00295E23"/>
    <w:rsid w:val="0029609F"/>
    <w:rsid w:val="0029654A"/>
    <w:rsid w:val="0029710A"/>
    <w:rsid w:val="002A04E4"/>
    <w:rsid w:val="002A1C06"/>
    <w:rsid w:val="002A2024"/>
    <w:rsid w:val="002A2C9B"/>
    <w:rsid w:val="002A3752"/>
    <w:rsid w:val="002A37E3"/>
    <w:rsid w:val="002A4231"/>
    <w:rsid w:val="002A534D"/>
    <w:rsid w:val="002B2B8B"/>
    <w:rsid w:val="002B388D"/>
    <w:rsid w:val="002B38B5"/>
    <w:rsid w:val="002B4B1E"/>
    <w:rsid w:val="002B588B"/>
    <w:rsid w:val="002B6211"/>
    <w:rsid w:val="002B62E2"/>
    <w:rsid w:val="002B7809"/>
    <w:rsid w:val="002B795A"/>
    <w:rsid w:val="002C183C"/>
    <w:rsid w:val="002C1D74"/>
    <w:rsid w:val="002C1F43"/>
    <w:rsid w:val="002C309E"/>
    <w:rsid w:val="002C4368"/>
    <w:rsid w:val="002C4683"/>
    <w:rsid w:val="002C604A"/>
    <w:rsid w:val="002D0E07"/>
    <w:rsid w:val="002D2483"/>
    <w:rsid w:val="002D26B5"/>
    <w:rsid w:val="002D2A22"/>
    <w:rsid w:val="002D4937"/>
    <w:rsid w:val="002D649B"/>
    <w:rsid w:val="002D67E7"/>
    <w:rsid w:val="002D6A3D"/>
    <w:rsid w:val="002D759B"/>
    <w:rsid w:val="002E16FD"/>
    <w:rsid w:val="002E245A"/>
    <w:rsid w:val="002E3516"/>
    <w:rsid w:val="002E3759"/>
    <w:rsid w:val="002E45B4"/>
    <w:rsid w:val="002E691F"/>
    <w:rsid w:val="002E6C0C"/>
    <w:rsid w:val="002F0EA9"/>
    <w:rsid w:val="002F1523"/>
    <w:rsid w:val="002F34FA"/>
    <w:rsid w:val="002F3C42"/>
    <w:rsid w:val="002F4770"/>
    <w:rsid w:val="002F4EDB"/>
    <w:rsid w:val="002F6DCE"/>
    <w:rsid w:val="003000F8"/>
    <w:rsid w:val="003006A4"/>
    <w:rsid w:val="003012C1"/>
    <w:rsid w:val="00302AE0"/>
    <w:rsid w:val="00302F10"/>
    <w:rsid w:val="003039C2"/>
    <w:rsid w:val="003060CB"/>
    <w:rsid w:val="00306E2E"/>
    <w:rsid w:val="00306F77"/>
    <w:rsid w:val="00307420"/>
    <w:rsid w:val="00311C3D"/>
    <w:rsid w:val="00314926"/>
    <w:rsid w:val="0032056A"/>
    <w:rsid w:val="00320698"/>
    <w:rsid w:val="00326C84"/>
    <w:rsid w:val="00327462"/>
    <w:rsid w:val="00333D5B"/>
    <w:rsid w:val="00335816"/>
    <w:rsid w:val="00341346"/>
    <w:rsid w:val="00341BEE"/>
    <w:rsid w:val="00341C57"/>
    <w:rsid w:val="00343C87"/>
    <w:rsid w:val="003462B8"/>
    <w:rsid w:val="003479F1"/>
    <w:rsid w:val="00350559"/>
    <w:rsid w:val="00354927"/>
    <w:rsid w:val="00361205"/>
    <w:rsid w:val="0036131C"/>
    <w:rsid w:val="0036266F"/>
    <w:rsid w:val="003632B8"/>
    <w:rsid w:val="0036359D"/>
    <w:rsid w:val="00364BE9"/>
    <w:rsid w:val="00365C39"/>
    <w:rsid w:val="0036707D"/>
    <w:rsid w:val="003707CA"/>
    <w:rsid w:val="00371E8B"/>
    <w:rsid w:val="00372264"/>
    <w:rsid w:val="0037232F"/>
    <w:rsid w:val="00373254"/>
    <w:rsid w:val="0037524B"/>
    <w:rsid w:val="00381C97"/>
    <w:rsid w:val="00382847"/>
    <w:rsid w:val="003829A0"/>
    <w:rsid w:val="0038357D"/>
    <w:rsid w:val="00385BA4"/>
    <w:rsid w:val="00387FD3"/>
    <w:rsid w:val="00392067"/>
    <w:rsid w:val="00393FE8"/>
    <w:rsid w:val="00394F7D"/>
    <w:rsid w:val="003969ED"/>
    <w:rsid w:val="003979C6"/>
    <w:rsid w:val="003A1794"/>
    <w:rsid w:val="003A1EE9"/>
    <w:rsid w:val="003A405A"/>
    <w:rsid w:val="003A6767"/>
    <w:rsid w:val="003B58BB"/>
    <w:rsid w:val="003B5EAE"/>
    <w:rsid w:val="003B78FC"/>
    <w:rsid w:val="003C0A80"/>
    <w:rsid w:val="003C4B8E"/>
    <w:rsid w:val="003C5B87"/>
    <w:rsid w:val="003C5BB6"/>
    <w:rsid w:val="003C62A8"/>
    <w:rsid w:val="003D072F"/>
    <w:rsid w:val="003D1F35"/>
    <w:rsid w:val="003D3EA0"/>
    <w:rsid w:val="003D5F6D"/>
    <w:rsid w:val="003E1876"/>
    <w:rsid w:val="003E18C3"/>
    <w:rsid w:val="003E3A15"/>
    <w:rsid w:val="003E44B6"/>
    <w:rsid w:val="003E52D0"/>
    <w:rsid w:val="003E74FE"/>
    <w:rsid w:val="003E75AE"/>
    <w:rsid w:val="003F0EC3"/>
    <w:rsid w:val="003F1734"/>
    <w:rsid w:val="003F1EE5"/>
    <w:rsid w:val="003F37D7"/>
    <w:rsid w:val="003F3DC0"/>
    <w:rsid w:val="003F532D"/>
    <w:rsid w:val="003F6B4B"/>
    <w:rsid w:val="003F7411"/>
    <w:rsid w:val="0040197A"/>
    <w:rsid w:val="0040235A"/>
    <w:rsid w:val="00404858"/>
    <w:rsid w:val="00406A6E"/>
    <w:rsid w:val="00407AD0"/>
    <w:rsid w:val="00410E70"/>
    <w:rsid w:val="00411585"/>
    <w:rsid w:val="00411BEA"/>
    <w:rsid w:val="004124B2"/>
    <w:rsid w:val="00412F4A"/>
    <w:rsid w:val="0041350E"/>
    <w:rsid w:val="004152A1"/>
    <w:rsid w:val="00415CA8"/>
    <w:rsid w:val="00420B87"/>
    <w:rsid w:val="004217D6"/>
    <w:rsid w:val="00422763"/>
    <w:rsid w:val="0042361A"/>
    <w:rsid w:val="00423902"/>
    <w:rsid w:val="00423A5F"/>
    <w:rsid w:val="004247B7"/>
    <w:rsid w:val="00426813"/>
    <w:rsid w:val="00426BB1"/>
    <w:rsid w:val="00431DB6"/>
    <w:rsid w:val="00431E78"/>
    <w:rsid w:val="004365FA"/>
    <w:rsid w:val="00436998"/>
    <w:rsid w:val="00437111"/>
    <w:rsid w:val="00437AB5"/>
    <w:rsid w:val="00441A52"/>
    <w:rsid w:val="00441A6C"/>
    <w:rsid w:val="004455B3"/>
    <w:rsid w:val="004479CB"/>
    <w:rsid w:val="00450B61"/>
    <w:rsid w:val="0045156C"/>
    <w:rsid w:val="004540B5"/>
    <w:rsid w:val="004546B3"/>
    <w:rsid w:val="00455A18"/>
    <w:rsid w:val="004560AC"/>
    <w:rsid w:val="00460758"/>
    <w:rsid w:val="00460839"/>
    <w:rsid w:val="00461438"/>
    <w:rsid w:val="0046160E"/>
    <w:rsid w:val="0046582D"/>
    <w:rsid w:val="004672EE"/>
    <w:rsid w:val="0047032C"/>
    <w:rsid w:val="00473604"/>
    <w:rsid w:val="00473EE6"/>
    <w:rsid w:val="00474044"/>
    <w:rsid w:val="004744DB"/>
    <w:rsid w:val="004755AE"/>
    <w:rsid w:val="004756F4"/>
    <w:rsid w:val="00475A1E"/>
    <w:rsid w:val="00475C1D"/>
    <w:rsid w:val="00477567"/>
    <w:rsid w:val="004823A1"/>
    <w:rsid w:val="00487EC4"/>
    <w:rsid w:val="004939D3"/>
    <w:rsid w:val="00493C54"/>
    <w:rsid w:val="0049482B"/>
    <w:rsid w:val="00497183"/>
    <w:rsid w:val="004A0918"/>
    <w:rsid w:val="004A0FFA"/>
    <w:rsid w:val="004A5AA1"/>
    <w:rsid w:val="004A75E4"/>
    <w:rsid w:val="004B1FFF"/>
    <w:rsid w:val="004B347A"/>
    <w:rsid w:val="004B4201"/>
    <w:rsid w:val="004B481F"/>
    <w:rsid w:val="004B67B2"/>
    <w:rsid w:val="004C0072"/>
    <w:rsid w:val="004C08A5"/>
    <w:rsid w:val="004C0AD5"/>
    <w:rsid w:val="004C1B17"/>
    <w:rsid w:val="004C2304"/>
    <w:rsid w:val="004C2A23"/>
    <w:rsid w:val="004C2B6C"/>
    <w:rsid w:val="004C307C"/>
    <w:rsid w:val="004C426F"/>
    <w:rsid w:val="004D463C"/>
    <w:rsid w:val="004D7C97"/>
    <w:rsid w:val="004E075C"/>
    <w:rsid w:val="004E1E4A"/>
    <w:rsid w:val="004E2C9F"/>
    <w:rsid w:val="004E4555"/>
    <w:rsid w:val="004E612E"/>
    <w:rsid w:val="004E6ABC"/>
    <w:rsid w:val="004E73C0"/>
    <w:rsid w:val="004E7CFD"/>
    <w:rsid w:val="004F185B"/>
    <w:rsid w:val="004F2020"/>
    <w:rsid w:val="004F23C8"/>
    <w:rsid w:val="004F294C"/>
    <w:rsid w:val="004F4CDF"/>
    <w:rsid w:val="004F617B"/>
    <w:rsid w:val="004F6DCF"/>
    <w:rsid w:val="004F749E"/>
    <w:rsid w:val="004F7669"/>
    <w:rsid w:val="00501133"/>
    <w:rsid w:val="00501429"/>
    <w:rsid w:val="00503E30"/>
    <w:rsid w:val="0050421A"/>
    <w:rsid w:val="00505893"/>
    <w:rsid w:val="005058E0"/>
    <w:rsid w:val="00505ED0"/>
    <w:rsid w:val="005136AC"/>
    <w:rsid w:val="00514C0A"/>
    <w:rsid w:val="00515777"/>
    <w:rsid w:val="00517E82"/>
    <w:rsid w:val="005207EC"/>
    <w:rsid w:val="00520829"/>
    <w:rsid w:val="00522778"/>
    <w:rsid w:val="00522A14"/>
    <w:rsid w:val="00524170"/>
    <w:rsid w:val="005263C4"/>
    <w:rsid w:val="005265FF"/>
    <w:rsid w:val="00526F99"/>
    <w:rsid w:val="00527657"/>
    <w:rsid w:val="00530903"/>
    <w:rsid w:val="00531AE8"/>
    <w:rsid w:val="00531EC4"/>
    <w:rsid w:val="0053361D"/>
    <w:rsid w:val="00535062"/>
    <w:rsid w:val="0053530D"/>
    <w:rsid w:val="0053720C"/>
    <w:rsid w:val="00537CB8"/>
    <w:rsid w:val="005434A6"/>
    <w:rsid w:val="0054542F"/>
    <w:rsid w:val="005471A0"/>
    <w:rsid w:val="00550C5C"/>
    <w:rsid w:val="00552C69"/>
    <w:rsid w:val="00555575"/>
    <w:rsid w:val="005570BA"/>
    <w:rsid w:val="00561665"/>
    <w:rsid w:val="0056294E"/>
    <w:rsid w:val="00565210"/>
    <w:rsid w:val="00565A04"/>
    <w:rsid w:val="00567528"/>
    <w:rsid w:val="00576B53"/>
    <w:rsid w:val="00586B31"/>
    <w:rsid w:val="00587292"/>
    <w:rsid w:val="005929B4"/>
    <w:rsid w:val="00593406"/>
    <w:rsid w:val="00595F93"/>
    <w:rsid w:val="005A1DB5"/>
    <w:rsid w:val="005A4D96"/>
    <w:rsid w:val="005A6D77"/>
    <w:rsid w:val="005A7093"/>
    <w:rsid w:val="005A7C46"/>
    <w:rsid w:val="005B1194"/>
    <w:rsid w:val="005B1AE9"/>
    <w:rsid w:val="005B2D7B"/>
    <w:rsid w:val="005B5A3C"/>
    <w:rsid w:val="005B703E"/>
    <w:rsid w:val="005C0A7D"/>
    <w:rsid w:val="005C1012"/>
    <w:rsid w:val="005C1440"/>
    <w:rsid w:val="005C284E"/>
    <w:rsid w:val="005C3A71"/>
    <w:rsid w:val="005C4BBB"/>
    <w:rsid w:val="005C7B69"/>
    <w:rsid w:val="005D28B0"/>
    <w:rsid w:val="005D3D84"/>
    <w:rsid w:val="005D55D8"/>
    <w:rsid w:val="005D6099"/>
    <w:rsid w:val="005D6706"/>
    <w:rsid w:val="005D6852"/>
    <w:rsid w:val="005E0029"/>
    <w:rsid w:val="005E1967"/>
    <w:rsid w:val="005E1BA0"/>
    <w:rsid w:val="005F0174"/>
    <w:rsid w:val="005F2993"/>
    <w:rsid w:val="005F37A4"/>
    <w:rsid w:val="005F3894"/>
    <w:rsid w:val="005F3F3D"/>
    <w:rsid w:val="005F4691"/>
    <w:rsid w:val="005F6324"/>
    <w:rsid w:val="005F7596"/>
    <w:rsid w:val="006019C3"/>
    <w:rsid w:val="006019C9"/>
    <w:rsid w:val="00601C9D"/>
    <w:rsid w:val="006032DD"/>
    <w:rsid w:val="006046F3"/>
    <w:rsid w:val="00606051"/>
    <w:rsid w:val="00612313"/>
    <w:rsid w:val="00613747"/>
    <w:rsid w:val="00614EDD"/>
    <w:rsid w:val="00616C81"/>
    <w:rsid w:val="00622158"/>
    <w:rsid w:val="00622D9B"/>
    <w:rsid w:val="006236B4"/>
    <w:rsid w:val="00623787"/>
    <w:rsid w:val="006244E0"/>
    <w:rsid w:val="0062468A"/>
    <w:rsid w:val="00626C88"/>
    <w:rsid w:val="00626D13"/>
    <w:rsid w:val="00631E9A"/>
    <w:rsid w:val="00631F22"/>
    <w:rsid w:val="00633D13"/>
    <w:rsid w:val="00634924"/>
    <w:rsid w:val="00635C52"/>
    <w:rsid w:val="00636295"/>
    <w:rsid w:val="00640FAA"/>
    <w:rsid w:val="00641CEE"/>
    <w:rsid w:val="00642B29"/>
    <w:rsid w:val="00642DA5"/>
    <w:rsid w:val="00642E1E"/>
    <w:rsid w:val="0064338C"/>
    <w:rsid w:val="00643467"/>
    <w:rsid w:val="0064438F"/>
    <w:rsid w:val="00646035"/>
    <w:rsid w:val="006461C9"/>
    <w:rsid w:val="0064641F"/>
    <w:rsid w:val="00646F24"/>
    <w:rsid w:val="00650DF3"/>
    <w:rsid w:val="00652400"/>
    <w:rsid w:val="00653A00"/>
    <w:rsid w:val="0066061A"/>
    <w:rsid w:val="006607A6"/>
    <w:rsid w:val="006612B3"/>
    <w:rsid w:val="0066282D"/>
    <w:rsid w:val="00663DCC"/>
    <w:rsid w:val="00664F21"/>
    <w:rsid w:val="006650B1"/>
    <w:rsid w:val="006654E2"/>
    <w:rsid w:val="006679F2"/>
    <w:rsid w:val="00667AC0"/>
    <w:rsid w:val="006711E6"/>
    <w:rsid w:val="006714D3"/>
    <w:rsid w:val="00671C86"/>
    <w:rsid w:val="006725E8"/>
    <w:rsid w:val="00677BD2"/>
    <w:rsid w:val="00677E15"/>
    <w:rsid w:val="00681398"/>
    <w:rsid w:val="00682700"/>
    <w:rsid w:val="00683958"/>
    <w:rsid w:val="006855DB"/>
    <w:rsid w:val="00686B5D"/>
    <w:rsid w:val="006906FD"/>
    <w:rsid w:val="00691B55"/>
    <w:rsid w:val="006922D7"/>
    <w:rsid w:val="00692810"/>
    <w:rsid w:val="006933EE"/>
    <w:rsid w:val="0069599C"/>
    <w:rsid w:val="00695A9C"/>
    <w:rsid w:val="00696848"/>
    <w:rsid w:val="006A14CE"/>
    <w:rsid w:val="006A3E5A"/>
    <w:rsid w:val="006A4575"/>
    <w:rsid w:val="006A470F"/>
    <w:rsid w:val="006A591A"/>
    <w:rsid w:val="006A6C27"/>
    <w:rsid w:val="006A6D16"/>
    <w:rsid w:val="006B160E"/>
    <w:rsid w:val="006B31A3"/>
    <w:rsid w:val="006B3DF3"/>
    <w:rsid w:val="006B4B49"/>
    <w:rsid w:val="006B4BB9"/>
    <w:rsid w:val="006B53BB"/>
    <w:rsid w:val="006B699C"/>
    <w:rsid w:val="006B6C70"/>
    <w:rsid w:val="006B770E"/>
    <w:rsid w:val="006C0FCF"/>
    <w:rsid w:val="006C50EE"/>
    <w:rsid w:val="006C54FA"/>
    <w:rsid w:val="006C5F4C"/>
    <w:rsid w:val="006C5FFC"/>
    <w:rsid w:val="006D00A4"/>
    <w:rsid w:val="006D0CB8"/>
    <w:rsid w:val="006D16E2"/>
    <w:rsid w:val="006D1EE1"/>
    <w:rsid w:val="006D2ED7"/>
    <w:rsid w:val="006D3976"/>
    <w:rsid w:val="006D534E"/>
    <w:rsid w:val="006D70C1"/>
    <w:rsid w:val="006D71AA"/>
    <w:rsid w:val="006E3072"/>
    <w:rsid w:val="006E4FA4"/>
    <w:rsid w:val="006E5499"/>
    <w:rsid w:val="006E5D09"/>
    <w:rsid w:val="006E5D2B"/>
    <w:rsid w:val="006E6377"/>
    <w:rsid w:val="006E73BF"/>
    <w:rsid w:val="006F021E"/>
    <w:rsid w:val="006F1820"/>
    <w:rsid w:val="006F25B2"/>
    <w:rsid w:val="006F2E86"/>
    <w:rsid w:val="006F483D"/>
    <w:rsid w:val="006F6017"/>
    <w:rsid w:val="00701D9F"/>
    <w:rsid w:val="00702C4F"/>
    <w:rsid w:val="00706EF1"/>
    <w:rsid w:val="007071EF"/>
    <w:rsid w:val="007110C3"/>
    <w:rsid w:val="00711204"/>
    <w:rsid w:val="00711D7D"/>
    <w:rsid w:val="007124F0"/>
    <w:rsid w:val="007129EC"/>
    <w:rsid w:val="00714952"/>
    <w:rsid w:val="00715ED1"/>
    <w:rsid w:val="007164D9"/>
    <w:rsid w:val="00716FF6"/>
    <w:rsid w:val="007174F1"/>
    <w:rsid w:val="007209C1"/>
    <w:rsid w:val="00720A59"/>
    <w:rsid w:val="0072221C"/>
    <w:rsid w:val="007236DE"/>
    <w:rsid w:val="00723E0A"/>
    <w:rsid w:val="00726964"/>
    <w:rsid w:val="00727924"/>
    <w:rsid w:val="00730223"/>
    <w:rsid w:val="00730F22"/>
    <w:rsid w:val="00731692"/>
    <w:rsid w:val="00733312"/>
    <w:rsid w:val="0073481D"/>
    <w:rsid w:val="00734F69"/>
    <w:rsid w:val="00734FF6"/>
    <w:rsid w:val="0073576C"/>
    <w:rsid w:val="0073658A"/>
    <w:rsid w:val="00740007"/>
    <w:rsid w:val="00740BAC"/>
    <w:rsid w:val="00740CDE"/>
    <w:rsid w:val="00740DE7"/>
    <w:rsid w:val="007414ED"/>
    <w:rsid w:val="0074244B"/>
    <w:rsid w:val="00743ACF"/>
    <w:rsid w:val="0074448F"/>
    <w:rsid w:val="00747295"/>
    <w:rsid w:val="007504A0"/>
    <w:rsid w:val="007512AA"/>
    <w:rsid w:val="007525E1"/>
    <w:rsid w:val="00752FCF"/>
    <w:rsid w:val="007609BC"/>
    <w:rsid w:val="00764ED2"/>
    <w:rsid w:val="00764FF4"/>
    <w:rsid w:val="007665B0"/>
    <w:rsid w:val="00766611"/>
    <w:rsid w:val="00767014"/>
    <w:rsid w:val="00767F8B"/>
    <w:rsid w:val="00770333"/>
    <w:rsid w:val="00771B04"/>
    <w:rsid w:val="00771CC5"/>
    <w:rsid w:val="007741A2"/>
    <w:rsid w:val="007743BB"/>
    <w:rsid w:val="00777CBF"/>
    <w:rsid w:val="00777D9B"/>
    <w:rsid w:val="00780577"/>
    <w:rsid w:val="007830C8"/>
    <w:rsid w:val="00784432"/>
    <w:rsid w:val="007849C7"/>
    <w:rsid w:val="00786101"/>
    <w:rsid w:val="00786547"/>
    <w:rsid w:val="007879D6"/>
    <w:rsid w:val="00790B09"/>
    <w:rsid w:val="007920E6"/>
    <w:rsid w:val="00792C51"/>
    <w:rsid w:val="00792CCC"/>
    <w:rsid w:val="00793A3A"/>
    <w:rsid w:val="0079478B"/>
    <w:rsid w:val="00794A90"/>
    <w:rsid w:val="00796211"/>
    <w:rsid w:val="00797D2C"/>
    <w:rsid w:val="007A13F6"/>
    <w:rsid w:val="007A187E"/>
    <w:rsid w:val="007A1AA9"/>
    <w:rsid w:val="007A2C86"/>
    <w:rsid w:val="007A35DA"/>
    <w:rsid w:val="007A39AE"/>
    <w:rsid w:val="007A40FD"/>
    <w:rsid w:val="007A421E"/>
    <w:rsid w:val="007A469B"/>
    <w:rsid w:val="007A4786"/>
    <w:rsid w:val="007A5415"/>
    <w:rsid w:val="007A5B34"/>
    <w:rsid w:val="007A615C"/>
    <w:rsid w:val="007A62A2"/>
    <w:rsid w:val="007B1999"/>
    <w:rsid w:val="007B1D2C"/>
    <w:rsid w:val="007B47C4"/>
    <w:rsid w:val="007B5070"/>
    <w:rsid w:val="007B667C"/>
    <w:rsid w:val="007B69B1"/>
    <w:rsid w:val="007B77E3"/>
    <w:rsid w:val="007B7E1B"/>
    <w:rsid w:val="007C1794"/>
    <w:rsid w:val="007C1FDD"/>
    <w:rsid w:val="007C434F"/>
    <w:rsid w:val="007D1094"/>
    <w:rsid w:val="007D1993"/>
    <w:rsid w:val="007D2C9B"/>
    <w:rsid w:val="007D3AB6"/>
    <w:rsid w:val="007D3B7B"/>
    <w:rsid w:val="007D42FD"/>
    <w:rsid w:val="007D4D1D"/>
    <w:rsid w:val="007D73B8"/>
    <w:rsid w:val="007E1BDE"/>
    <w:rsid w:val="007E416E"/>
    <w:rsid w:val="007E4F26"/>
    <w:rsid w:val="007E6D06"/>
    <w:rsid w:val="007F0ECD"/>
    <w:rsid w:val="007F599C"/>
    <w:rsid w:val="00800A2F"/>
    <w:rsid w:val="00801AF8"/>
    <w:rsid w:val="00803997"/>
    <w:rsid w:val="0080433F"/>
    <w:rsid w:val="0080608F"/>
    <w:rsid w:val="008076DD"/>
    <w:rsid w:val="00812534"/>
    <w:rsid w:val="00812D33"/>
    <w:rsid w:val="00813CEF"/>
    <w:rsid w:val="00814A7E"/>
    <w:rsid w:val="00814C59"/>
    <w:rsid w:val="008208C6"/>
    <w:rsid w:val="008245C9"/>
    <w:rsid w:val="00833BC1"/>
    <w:rsid w:val="00834D1B"/>
    <w:rsid w:val="00836735"/>
    <w:rsid w:val="00842CE8"/>
    <w:rsid w:val="00843DFE"/>
    <w:rsid w:val="008448EA"/>
    <w:rsid w:val="008450E5"/>
    <w:rsid w:val="00846D3C"/>
    <w:rsid w:val="00850F58"/>
    <w:rsid w:val="008511AB"/>
    <w:rsid w:val="00851D08"/>
    <w:rsid w:val="0085324C"/>
    <w:rsid w:val="00854754"/>
    <w:rsid w:val="00855C5B"/>
    <w:rsid w:val="00860269"/>
    <w:rsid w:val="00860828"/>
    <w:rsid w:val="0086092B"/>
    <w:rsid w:val="00861692"/>
    <w:rsid w:val="00861849"/>
    <w:rsid w:val="00862B5E"/>
    <w:rsid w:val="00864E15"/>
    <w:rsid w:val="00865022"/>
    <w:rsid w:val="00865169"/>
    <w:rsid w:val="0086562A"/>
    <w:rsid w:val="008720EF"/>
    <w:rsid w:val="008736B6"/>
    <w:rsid w:val="008746C9"/>
    <w:rsid w:val="0087529C"/>
    <w:rsid w:val="00875EE4"/>
    <w:rsid w:val="00876A3C"/>
    <w:rsid w:val="00877315"/>
    <w:rsid w:val="00877A24"/>
    <w:rsid w:val="00880271"/>
    <w:rsid w:val="0088144D"/>
    <w:rsid w:val="00883315"/>
    <w:rsid w:val="0088771A"/>
    <w:rsid w:val="00887726"/>
    <w:rsid w:val="00891ADF"/>
    <w:rsid w:val="008932E6"/>
    <w:rsid w:val="008969B9"/>
    <w:rsid w:val="00896F79"/>
    <w:rsid w:val="008970B2"/>
    <w:rsid w:val="008A01F2"/>
    <w:rsid w:val="008A1933"/>
    <w:rsid w:val="008A4757"/>
    <w:rsid w:val="008A59E2"/>
    <w:rsid w:val="008A6808"/>
    <w:rsid w:val="008A6F86"/>
    <w:rsid w:val="008A6F88"/>
    <w:rsid w:val="008A7C7E"/>
    <w:rsid w:val="008B04D9"/>
    <w:rsid w:val="008B15BD"/>
    <w:rsid w:val="008B1627"/>
    <w:rsid w:val="008B1F63"/>
    <w:rsid w:val="008B28F1"/>
    <w:rsid w:val="008B2E64"/>
    <w:rsid w:val="008B51CA"/>
    <w:rsid w:val="008B567B"/>
    <w:rsid w:val="008B6796"/>
    <w:rsid w:val="008B79BE"/>
    <w:rsid w:val="008B7A59"/>
    <w:rsid w:val="008B7FCC"/>
    <w:rsid w:val="008C0D96"/>
    <w:rsid w:val="008C19F8"/>
    <w:rsid w:val="008C2745"/>
    <w:rsid w:val="008C2F7E"/>
    <w:rsid w:val="008C3CB2"/>
    <w:rsid w:val="008C637F"/>
    <w:rsid w:val="008C75A9"/>
    <w:rsid w:val="008C76B3"/>
    <w:rsid w:val="008C7BD1"/>
    <w:rsid w:val="008D19C1"/>
    <w:rsid w:val="008D572D"/>
    <w:rsid w:val="008D5831"/>
    <w:rsid w:val="008D724A"/>
    <w:rsid w:val="008D7E10"/>
    <w:rsid w:val="008E028E"/>
    <w:rsid w:val="008E045B"/>
    <w:rsid w:val="008F1C64"/>
    <w:rsid w:val="008F3413"/>
    <w:rsid w:val="008F503B"/>
    <w:rsid w:val="008F5402"/>
    <w:rsid w:val="008F585F"/>
    <w:rsid w:val="008F5D94"/>
    <w:rsid w:val="008F6B03"/>
    <w:rsid w:val="008F7815"/>
    <w:rsid w:val="009012E9"/>
    <w:rsid w:val="00903A27"/>
    <w:rsid w:val="00903F99"/>
    <w:rsid w:val="0090411D"/>
    <w:rsid w:val="009075BA"/>
    <w:rsid w:val="00907FF9"/>
    <w:rsid w:val="0091054E"/>
    <w:rsid w:val="0091076A"/>
    <w:rsid w:val="0091446D"/>
    <w:rsid w:val="009169A1"/>
    <w:rsid w:val="0091765A"/>
    <w:rsid w:val="009229CB"/>
    <w:rsid w:val="00923503"/>
    <w:rsid w:val="00924072"/>
    <w:rsid w:val="00924777"/>
    <w:rsid w:val="00925B0E"/>
    <w:rsid w:val="00927D0E"/>
    <w:rsid w:val="00930473"/>
    <w:rsid w:val="00930589"/>
    <w:rsid w:val="009332C6"/>
    <w:rsid w:val="00934774"/>
    <w:rsid w:val="00937427"/>
    <w:rsid w:val="0093781D"/>
    <w:rsid w:val="00937B78"/>
    <w:rsid w:val="009423B4"/>
    <w:rsid w:val="0094550F"/>
    <w:rsid w:val="00945533"/>
    <w:rsid w:val="00945637"/>
    <w:rsid w:val="009468C6"/>
    <w:rsid w:val="00950524"/>
    <w:rsid w:val="00950D55"/>
    <w:rsid w:val="0095233A"/>
    <w:rsid w:val="0095338A"/>
    <w:rsid w:val="00955C1D"/>
    <w:rsid w:val="009578F6"/>
    <w:rsid w:val="00957B36"/>
    <w:rsid w:val="009618E4"/>
    <w:rsid w:val="00962DA3"/>
    <w:rsid w:val="00963596"/>
    <w:rsid w:val="00964AD8"/>
    <w:rsid w:val="00965DBE"/>
    <w:rsid w:val="00967196"/>
    <w:rsid w:val="00967D6A"/>
    <w:rsid w:val="009703E3"/>
    <w:rsid w:val="009737A2"/>
    <w:rsid w:val="009743AE"/>
    <w:rsid w:val="009774A4"/>
    <w:rsid w:val="00977B40"/>
    <w:rsid w:val="00980B1B"/>
    <w:rsid w:val="009817D4"/>
    <w:rsid w:val="009821E0"/>
    <w:rsid w:val="00983664"/>
    <w:rsid w:val="00985693"/>
    <w:rsid w:val="009864F1"/>
    <w:rsid w:val="009866C3"/>
    <w:rsid w:val="00991971"/>
    <w:rsid w:val="009931BE"/>
    <w:rsid w:val="00993989"/>
    <w:rsid w:val="00995352"/>
    <w:rsid w:val="00997FE0"/>
    <w:rsid w:val="009A00CB"/>
    <w:rsid w:val="009A107B"/>
    <w:rsid w:val="009B35B8"/>
    <w:rsid w:val="009B4632"/>
    <w:rsid w:val="009B52BD"/>
    <w:rsid w:val="009B5943"/>
    <w:rsid w:val="009B621A"/>
    <w:rsid w:val="009C660A"/>
    <w:rsid w:val="009C6945"/>
    <w:rsid w:val="009C6A68"/>
    <w:rsid w:val="009C73C4"/>
    <w:rsid w:val="009D02E8"/>
    <w:rsid w:val="009D08C4"/>
    <w:rsid w:val="009D0CEB"/>
    <w:rsid w:val="009D16C6"/>
    <w:rsid w:val="009D2234"/>
    <w:rsid w:val="009D32F6"/>
    <w:rsid w:val="009D3F7C"/>
    <w:rsid w:val="009D5DF1"/>
    <w:rsid w:val="009D5FAB"/>
    <w:rsid w:val="009E05EB"/>
    <w:rsid w:val="009E093F"/>
    <w:rsid w:val="009E141C"/>
    <w:rsid w:val="009E2C9D"/>
    <w:rsid w:val="009E4B57"/>
    <w:rsid w:val="009E502C"/>
    <w:rsid w:val="009E6850"/>
    <w:rsid w:val="009E741F"/>
    <w:rsid w:val="009E77BE"/>
    <w:rsid w:val="009F0947"/>
    <w:rsid w:val="009F0BB5"/>
    <w:rsid w:val="009F4AE2"/>
    <w:rsid w:val="009F7648"/>
    <w:rsid w:val="009F7D10"/>
    <w:rsid w:val="00A00594"/>
    <w:rsid w:val="00A01115"/>
    <w:rsid w:val="00A0176B"/>
    <w:rsid w:val="00A02014"/>
    <w:rsid w:val="00A032C4"/>
    <w:rsid w:val="00A061D1"/>
    <w:rsid w:val="00A073CC"/>
    <w:rsid w:val="00A10F2D"/>
    <w:rsid w:val="00A16213"/>
    <w:rsid w:val="00A16626"/>
    <w:rsid w:val="00A213D5"/>
    <w:rsid w:val="00A21A32"/>
    <w:rsid w:val="00A21FEA"/>
    <w:rsid w:val="00A222E8"/>
    <w:rsid w:val="00A2343E"/>
    <w:rsid w:val="00A2362E"/>
    <w:rsid w:val="00A23F13"/>
    <w:rsid w:val="00A23FA1"/>
    <w:rsid w:val="00A27823"/>
    <w:rsid w:val="00A27A8B"/>
    <w:rsid w:val="00A32AF8"/>
    <w:rsid w:val="00A37F32"/>
    <w:rsid w:val="00A41653"/>
    <w:rsid w:val="00A42009"/>
    <w:rsid w:val="00A421E7"/>
    <w:rsid w:val="00A424FD"/>
    <w:rsid w:val="00A434AC"/>
    <w:rsid w:val="00A4484A"/>
    <w:rsid w:val="00A448AF"/>
    <w:rsid w:val="00A452C6"/>
    <w:rsid w:val="00A46F63"/>
    <w:rsid w:val="00A477A8"/>
    <w:rsid w:val="00A529E9"/>
    <w:rsid w:val="00A545EF"/>
    <w:rsid w:val="00A56FD5"/>
    <w:rsid w:val="00A57049"/>
    <w:rsid w:val="00A57128"/>
    <w:rsid w:val="00A5748B"/>
    <w:rsid w:val="00A60012"/>
    <w:rsid w:val="00A61BAF"/>
    <w:rsid w:val="00A62A45"/>
    <w:rsid w:val="00A6410D"/>
    <w:rsid w:val="00A648F7"/>
    <w:rsid w:val="00A65DD0"/>
    <w:rsid w:val="00A66251"/>
    <w:rsid w:val="00A666DE"/>
    <w:rsid w:val="00A71702"/>
    <w:rsid w:val="00A801F7"/>
    <w:rsid w:val="00A825B3"/>
    <w:rsid w:val="00A83C2E"/>
    <w:rsid w:val="00A84BDA"/>
    <w:rsid w:val="00A8512D"/>
    <w:rsid w:val="00A85965"/>
    <w:rsid w:val="00A85A1B"/>
    <w:rsid w:val="00A85AA4"/>
    <w:rsid w:val="00A92C70"/>
    <w:rsid w:val="00A9347D"/>
    <w:rsid w:val="00A9749A"/>
    <w:rsid w:val="00AA237B"/>
    <w:rsid w:val="00AA27AA"/>
    <w:rsid w:val="00AA3279"/>
    <w:rsid w:val="00AA6622"/>
    <w:rsid w:val="00AB11FF"/>
    <w:rsid w:val="00AB21C5"/>
    <w:rsid w:val="00AB29FE"/>
    <w:rsid w:val="00AB30EB"/>
    <w:rsid w:val="00AB45B7"/>
    <w:rsid w:val="00AB467A"/>
    <w:rsid w:val="00AB46CD"/>
    <w:rsid w:val="00AC0063"/>
    <w:rsid w:val="00AC03FA"/>
    <w:rsid w:val="00AC0926"/>
    <w:rsid w:val="00AC3057"/>
    <w:rsid w:val="00AC3816"/>
    <w:rsid w:val="00AC6726"/>
    <w:rsid w:val="00AD13BA"/>
    <w:rsid w:val="00AD21D8"/>
    <w:rsid w:val="00AD4528"/>
    <w:rsid w:val="00AD5B1E"/>
    <w:rsid w:val="00AD64D8"/>
    <w:rsid w:val="00AD664A"/>
    <w:rsid w:val="00AD68E9"/>
    <w:rsid w:val="00AD6D2F"/>
    <w:rsid w:val="00AD6ECB"/>
    <w:rsid w:val="00AD777D"/>
    <w:rsid w:val="00AE1020"/>
    <w:rsid w:val="00AE1314"/>
    <w:rsid w:val="00AE2036"/>
    <w:rsid w:val="00AE2A4A"/>
    <w:rsid w:val="00AE38F9"/>
    <w:rsid w:val="00AE43CB"/>
    <w:rsid w:val="00AE5BF4"/>
    <w:rsid w:val="00AE7679"/>
    <w:rsid w:val="00AF142D"/>
    <w:rsid w:val="00AF36B2"/>
    <w:rsid w:val="00B00EC2"/>
    <w:rsid w:val="00B02483"/>
    <w:rsid w:val="00B0253E"/>
    <w:rsid w:val="00B02717"/>
    <w:rsid w:val="00B02824"/>
    <w:rsid w:val="00B02ECB"/>
    <w:rsid w:val="00B04717"/>
    <w:rsid w:val="00B06B5A"/>
    <w:rsid w:val="00B1082D"/>
    <w:rsid w:val="00B11421"/>
    <w:rsid w:val="00B12FFA"/>
    <w:rsid w:val="00B13C28"/>
    <w:rsid w:val="00B13F8C"/>
    <w:rsid w:val="00B143EB"/>
    <w:rsid w:val="00B144FE"/>
    <w:rsid w:val="00B150D2"/>
    <w:rsid w:val="00B16141"/>
    <w:rsid w:val="00B171C8"/>
    <w:rsid w:val="00B20BCE"/>
    <w:rsid w:val="00B21354"/>
    <w:rsid w:val="00B228B4"/>
    <w:rsid w:val="00B22A9E"/>
    <w:rsid w:val="00B23B19"/>
    <w:rsid w:val="00B24A68"/>
    <w:rsid w:val="00B2541C"/>
    <w:rsid w:val="00B25ED8"/>
    <w:rsid w:val="00B26745"/>
    <w:rsid w:val="00B2705D"/>
    <w:rsid w:val="00B33151"/>
    <w:rsid w:val="00B3377D"/>
    <w:rsid w:val="00B33F3B"/>
    <w:rsid w:val="00B3430E"/>
    <w:rsid w:val="00B34981"/>
    <w:rsid w:val="00B3547B"/>
    <w:rsid w:val="00B356D5"/>
    <w:rsid w:val="00B360D6"/>
    <w:rsid w:val="00B36A81"/>
    <w:rsid w:val="00B37D40"/>
    <w:rsid w:val="00B41000"/>
    <w:rsid w:val="00B4189C"/>
    <w:rsid w:val="00B41D7D"/>
    <w:rsid w:val="00B435C2"/>
    <w:rsid w:val="00B452A3"/>
    <w:rsid w:val="00B45668"/>
    <w:rsid w:val="00B46F09"/>
    <w:rsid w:val="00B538B3"/>
    <w:rsid w:val="00B53FA0"/>
    <w:rsid w:val="00B55C9E"/>
    <w:rsid w:val="00B56BDF"/>
    <w:rsid w:val="00B56FFD"/>
    <w:rsid w:val="00B64639"/>
    <w:rsid w:val="00B66A20"/>
    <w:rsid w:val="00B66DFA"/>
    <w:rsid w:val="00B7000A"/>
    <w:rsid w:val="00B70B10"/>
    <w:rsid w:val="00B70D3D"/>
    <w:rsid w:val="00B70FA1"/>
    <w:rsid w:val="00B74BFC"/>
    <w:rsid w:val="00B75401"/>
    <w:rsid w:val="00B77092"/>
    <w:rsid w:val="00B772C7"/>
    <w:rsid w:val="00B776A4"/>
    <w:rsid w:val="00B80B9E"/>
    <w:rsid w:val="00B84383"/>
    <w:rsid w:val="00B84C5E"/>
    <w:rsid w:val="00B867AF"/>
    <w:rsid w:val="00B872F3"/>
    <w:rsid w:val="00B9048C"/>
    <w:rsid w:val="00B90BCD"/>
    <w:rsid w:val="00B94B0D"/>
    <w:rsid w:val="00B94D48"/>
    <w:rsid w:val="00B96775"/>
    <w:rsid w:val="00B96F4A"/>
    <w:rsid w:val="00B97A87"/>
    <w:rsid w:val="00B97AEA"/>
    <w:rsid w:val="00B97FDF"/>
    <w:rsid w:val="00BA06DD"/>
    <w:rsid w:val="00BA2565"/>
    <w:rsid w:val="00BA26D4"/>
    <w:rsid w:val="00BA2B73"/>
    <w:rsid w:val="00BA388C"/>
    <w:rsid w:val="00BA44C0"/>
    <w:rsid w:val="00BA507F"/>
    <w:rsid w:val="00BA5B2C"/>
    <w:rsid w:val="00BA607A"/>
    <w:rsid w:val="00BA78BA"/>
    <w:rsid w:val="00BB12DD"/>
    <w:rsid w:val="00BB3C7E"/>
    <w:rsid w:val="00BB3E64"/>
    <w:rsid w:val="00BB4200"/>
    <w:rsid w:val="00BB64FC"/>
    <w:rsid w:val="00BB74E8"/>
    <w:rsid w:val="00BB7500"/>
    <w:rsid w:val="00BB7D40"/>
    <w:rsid w:val="00BC0C02"/>
    <w:rsid w:val="00BC1094"/>
    <w:rsid w:val="00BC34C9"/>
    <w:rsid w:val="00BC601D"/>
    <w:rsid w:val="00BC7868"/>
    <w:rsid w:val="00BC7986"/>
    <w:rsid w:val="00BD0E70"/>
    <w:rsid w:val="00BD47E1"/>
    <w:rsid w:val="00BD66D3"/>
    <w:rsid w:val="00BD79A5"/>
    <w:rsid w:val="00BE43F0"/>
    <w:rsid w:val="00BE4E10"/>
    <w:rsid w:val="00BE53D4"/>
    <w:rsid w:val="00BE5647"/>
    <w:rsid w:val="00BE7B8D"/>
    <w:rsid w:val="00BF3592"/>
    <w:rsid w:val="00BF3FCA"/>
    <w:rsid w:val="00BF44B7"/>
    <w:rsid w:val="00BF47F2"/>
    <w:rsid w:val="00BF5B3E"/>
    <w:rsid w:val="00BF6014"/>
    <w:rsid w:val="00BF607B"/>
    <w:rsid w:val="00BF65F2"/>
    <w:rsid w:val="00BF7B52"/>
    <w:rsid w:val="00C008F7"/>
    <w:rsid w:val="00C01B87"/>
    <w:rsid w:val="00C044F1"/>
    <w:rsid w:val="00C045E7"/>
    <w:rsid w:val="00C05E36"/>
    <w:rsid w:val="00C067DE"/>
    <w:rsid w:val="00C075D7"/>
    <w:rsid w:val="00C07A96"/>
    <w:rsid w:val="00C10000"/>
    <w:rsid w:val="00C1044D"/>
    <w:rsid w:val="00C11439"/>
    <w:rsid w:val="00C13953"/>
    <w:rsid w:val="00C15451"/>
    <w:rsid w:val="00C15595"/>
    <w:rsid w:val="00C15C1A"/>
    <w:rsid w:val="00C166CD"/>
    <w:rsid w:val="00C16B2A"/>
    <w:rsid w:val="00C16B33"/>
    <w:rsid w:val="00C1790C"/>
    <w:rsid w:val="00C203CB"/>
    <w:rsid w:val="00C213DB"/>
    <w:rsid w:val="00C23082"/>
    <w:rsid w:val="00C231D1"/>
    <w:rsid w:val="00C23562"/>
    <w:rsid w:val="00C23A79"/>
    <w:rsid w:val="00C23CB8"/>
    <w:rsid w:val="00C255E4"/>
    <w:rsid w:val="00C26B4E"/>
    <w:rsid w:val="00C276D0"/>
    <w:rsid w:val="00C3339F"/>
    <w:rsid w:val="00C34EE9"/>
    <w:rsid w:val="00C352E7"/>
    <w:rsid w:val="00C36E64"/>
    <w:rsid w:val="00C40963"/>
    <w:rsid w:val="00C433E7"/>
    <w:rsid w:val="00C43528"/>
    <w:rsid w:val="00C4553B"/>
    <w:rsid w:val="00C46656"/>
    <w:rsid w:val="00C47EC6"/>
    <w:rsid w:val="00C5163F"/>
    <w:rsid w:val="00C52A95"/>
    <w:rsid w:val="00C52F21"/>
    <w:rsid w:val="00C54573"/>
    <w:rsid w:val="00C553BF"/>
    <w:rsid w:val="00C56782"/>
    <w:rsid w:val="00C57F8B"/>
    <w:rsid w:val="00C602DB"/>
    <w:rsid w:val="00C60AEC"/>
    <w:rsid w:val="00C619C2"/>
    <w:rsid w:val="00C62797"/>
    <w:rsid w:val="00C62E3B"/>
    <w:rsid w:val="00C63B64"/>
    <w:rsid w:val="00C63C48"/>
    <w:rsid w:val="00C65109"/>
    <w:rsid w:val="00C65293"/>
    <w:rsid w:val="00C6552D"/>
    <w:rsid w:val="00C65AE6"/>
    <w:rsid w:val="00C6626F"/>
    <w:rsid w:val="00C7150F"/>
    <w:rsid w:val="00C74859"/>
    <w:rsid w:val="00C75F73"/>
    <w:rsid w:val="00C777CC"/>
    <w:rsid w:val="00C8099A"/>
    <w:rsid w:val="00C80FAD"/>
    <w:rsid w:val="00C83042"/>
    <w:rsid w:val="00C83787"/>
    <w:rsid w:val="00C866A6"/>
    <w:rsid w:val="00C90FBE"/>
    <w:rsid w:val="00C92B1B"/>
    <w:rsid w:val="00CA1A2E"/>
    <w:rsid w:val="00CA1BE2"/>
    <w:rsid w:val="00CA2C19"/>
    <w:rsid w:val="00CA32A1"/>
    <w:rsid w:val="00CB4445"/>
    <w:rsid w:val="00CB5731"/>
    <w:rsid w:val="00CB5860"/>
    <w:rsid w:val="00CB607A"/>
    <w:rsid w:val="00CB6B22"/>
    <w:rsid w:val="00CB6EA8"/>
    <w:rsid w:val="00CB72CE"/>
    <w:rsid w:val="00CB7D4C"/>
    <w:rsid w:val="00CC4457"/>
    <w:rsid w:val="00CC55F4"/>
    <w:rsid w:val="00CC66EE"/>
    <w:rsid w:val="00CC79A3"/>
    <w:rsid w:val="00CD129B"/>
    <w:rsid w:val="00CD1458"/>
    <w:rsid w:val="00CD368E"/>
    <w:rsid w:val="00CD3C50"/>
    <w:rsid w:val="00CD4527"/>
    <w:rsid w:val="00CD4F74"/>
    <w:rsid w:val="00CD5553"/>
    <w:rsid w:val="00CD7D13"/>
    <w:rsid w:val="00CE44FA"/>
    <w:rsid w:val="00CE4669"/>
    <w:rsid w:val="00CE573F"/>
    <w:rsid w:val="00CF1BE4"/>
    <w:rsid w:val="00CF2CF6"/>
    <w:rsid w:val="00CF33CA"/>
    <w:rsid w:val="00CF33E1"/>
    <w:rsid w:val="00CF44F5"/>
    <w:rsid w:val="00CF6C5C"/>
    <w:rsid w:val="00CF78D1"/>
    <w:rsid w:val="00D00F00"/>
    <w:rsid w:val="00D01E09"/>
    <w:rsid w:val="00D0257F"/>
    <w:rsid w:val="00D02D5A"/>
    <w:rsid w:val="00D02F77"/>
    <w:rsid w:val="00D02FEA"/>
    <w:rsid w:val="00D03309"/>
    <w:rsid w:val="00D038FE"/>
    <w:rsid w:val="00D03AD7"/>
    <w:rsid w:val="00D0593A"/>
    <w:rsid w:val="00D0657D"/>
    <w:rsid w:val="00D104AE"/>
    <w:rsid w:val="00D11B1F"/>
    <w:rsid w:val="00D11F79"/>
    <w:rsid w:val="00D13688"/>
    <w:rsid w:val="00D1421B"/>
    <w:rsid w:val="00D14F02"/>
    <w:rsid w:val="00D15577"/>
    <w:rsid w:val="00D15C32"/>
    <w:rsid w:val="00D16251"/>
    <w:rsid w:val="00D16EAC"/>
    <w:rsid w:val="00D20FEE"/>
    <w:rsid w:val="00D210DE"/>
    <w:rsid w:val="00D21E9D"/>
    <w:rsid w:val="00D23115"/>
    <w:rsid w:val="00D23367"/>
    <w:rsid w:val="00D23C33"/>
    <w:rsid w:val="00D253CA"/>
    <w:rsid w:val="00D25A65"/>
    <w:rsid w:val="00D26E01"/>
    <w:rsid w:val="00D3510F"/>
    <w:rsid w:val="00D359E0"/>
    <w:rsid w:val="00D37A1E"/>
    <w:rsid w:val="00D41427"/>
    <w:rsid w:val="00D43AA4"/>
    <w:rsid w:val="00D43EDC"/>
    <w:rsid w:val="00D43F43"/>
    <w:rsid w:val="00D45E6C"/>
    <w:rsid w:val="00D4633D"/>
    <w:rsid w:val="00D46778"/>
    <w:rsid w:val="00D46C1C"/>
    <w:rsid w:val="00D47619"/>
    <w:rsid w:val="00D47CAC"/>
    <w:rsid w:val="00D52453"/>
    <w:rsid w:val="00D557A7"/>
    <w:rsid w:val="00D5633E"/>
    <w:rsid w:val="00D56AA6"/>
    <w:rsid w:val="00D6023E"/>
    <w:rsid w:val="00D60E05"/>
    <w:rsid w:val="00D620E3"/>
    <w:rsid w:val="00D63170"/>
    <w:rsid w:val="00D63178"/>
    <w:rsid w:val="00D71C47"/>
    <w:rsid w:val="00D72A8D"/>
    <w:rsid w:val="00D72AAC"/>
    <w:rsid w:val="00D73B12"/>
    <w:rsid w:val="00D74517"/>
    <w:rsid w:val="00D74C8B"/>
    <w:rsid w:val="00D770EE"/>
    <w:rsid w:val="00D80172"/>
    <w:rsid w:val="00D806D2"/>
    <w:rsid w:val="00D81037"/>
    <w:rsid w:val="00D85774"/>
    <w:rsid w:val="00D85F66"/>
    <w:rsid w:val="00D87F28"/>
    <w:rsid w:val="00D90EE9"/>
    <w:rsid w:val="00D91667"/>
    <w:rsid w:val="00D92264"/>
    <w:rsid w:val="00D92B04"/>
    <w:rsid w:val="00D9374B"/>
    <w:rsid w:val="00D9507A"/>
    <w:rsid w:val="00D96174"/>
    <w:rsid w:val="00D97F8F"/>
    <w:rsid w:val="00DA20BE"/>
    <w:rsid w:val="00DA31A8"/>
    <w:rsid w:val="00DA367D"/>
    <w:rsid w:val="00DA39AB"/>
    <w:rsid w:val="00DA3FAD"/>
    <w:rsid w:val="00DA44F7"/>
    <w:rsid w:val="00DA45BE"/>
    <w:rsid w:val="00DA5ED6"/>
    <w:rsid w:val="00DA6E21"/>
    <w:rsid w:val="00DB3184"/>
    <w:rsid w:val="00DB3F50"/>
    <w:rsid w:val="00DC0319"/>
    <w:rsid w:val="00DC3754"/>
    <w:rsid w:val="00DC5844"/>
    <w:rsid w:val="00DC6455"/>
    <w:rsid w:val="00DC7624"/>
    <w:rsid w:val="00DD089B"/>
    <w:rsid w:val="00DD231D"/>
    <w:rsid w:val="00DD71E9"/>
    <w:rsid w:val="00DD79D0"/>
    <w:rsid w:val="00DD7D0E"/>
    <w:rsid w:val="00DE3B46"/>
    <w:rsid w:val="00DE40B3"/>
    <w:rsid w:val="00DE4DA6"/>
    <w:rsid w:val="00DE6091"/>
    <w:rsid w:val="00DE7517"/>
    <w:rsid w:val="00DF0933"/>
    <w:rsid w:val="00DF0DB9"/>
    <w:rsid w:val="00DF19C0"/>
    <w:rsid w:val="00DF3034"/>
    <w:rsid w:val="00DF3DDE"/>
    <w:rsid w:val="00DF538C"/>
    <w:rsid w:val="00DF7E35"/>
    <w:rsid w:val="00E00131"/>
    <w:rsid w:val="00E00576"/>
    <w:rsid w:val="00E00B93"/>
    <w:rsid w:val="00E01FD8"/>
    <w:rsid w:val="00E077DF"/>
    <w:rsid w:val="00E12DEF"/>
    <w:rsid w:val="00E15B51"/>
    <w:rsid w:val="00E20046"/>
    <w:rsid w:val="00E21686"/>
    <w:rsid w:val="00E2211B"/>
    <w:rsid w:val="00E22A5B"/>
    <w:rsid w:val="00E23A42"/>
    <w:rsid w:val="00E24019"/>
    <w:rsid w:val="00E273DF"/>
    <w:rsid w:val="00E27E4D"/>
    <w:rsid w:val="00E32724"/>
    <w:rsid w:val="00E359EB"/>
    <w:rsid w:val="00E361AB"/>
    <w:rsid w:val="00E36C28"/>
    <w:rsid w:val="00E3734B"/>
    <w:rsid w:val="00E41E7C"/>
    <w:rsid w:val="00E45D20"/>
    <w:rsid w:val="00E462A1"/>
    <w:rsid w:val="00E46782"/>
    <w:rsid w:val="00E51D7C"/>
    <w:rsid w:val="00E52320"/>
    <w:rsid w:val="00E53712"/>
    <w:rsid w:val="00E55005"/>
    <w:rsid w:val="00E55A5A"/>
    <w:rsid w:val="00E56826"/>
    <w:rsid w:val="00E62281"/>
    <w:rsid w:val="00E63622"/>
    <w:rsid w:val="00E652D7"/>
    <w:rsid w:val="00E663A5"/>
    <w:rsid w:val="00E6712C"/>
    <w:rsid w:val="00E6783C"/>
    <w:rsid w:val="00E721A9"/>
    <w:rsid w:val="00E75BFB"/>
    <w:rsid w:val="00E772C1"/>
    <w:rsid w:val="00E81195"/>
    <w:rsid w:val="00E815FE"/>
    <w:rsid w:val="00E82EE0"/>
    <w:rsid w:val="00E84692"/>
    <w:rsid w:val="00E84730"/>
    <w:rsid w:val="00E84D7B"/>
    <w:rsid w:val="00E84F67"/>
    <w:rsid w:val="00E8556A"/>
    <w:rsid w:val="00E85700"/>
    <w:rsid w:val="00E85E09"/>
    <w:rsid w:val="00E9042F"/>
    <w:rsid w:val="00E9382B"/>
    <w:rsid w:val="00E944C5"/>
    <w:rsid w:val="00E94EBF"/>
    <w:rsid w:val="00E96904"/>
    <w:rsid w:val="00E97CBD"/>
    <w:rsid w:val="00EA13B2"/>
    <w:rsid w:val="00EA2FAB"/>
    <w:rsid w:val="00EA679F"/>
    <w:rsid w:val="00EA6D7B"/>
    <w:rsid w:val="00EB2DA0"/>
    <w:rsid w:val="00EB3F54"/>
    <w:rsid w:val="00EB42CE"/>
    <w:rsid w:val="00EB5466"/>
    <w:rsid w:val="00EB577F"/>
    <w:rsid w:val="00EB62BD"/>
    <w:rsid w:val="00EB6FEC"/>
    <w:rsid w:val="00EB772E"/>
    <w:rsid w:val="00EB785C"/>
    <w:rsid w:val="00EC0C88"/>
    <w:rsid w:val="00EC1B82"/>
    <w:rsid w:val="00EC4E80"/>
    <w:rsid w:val="00EC7E4D"/>
    <w:rsid w:val="00EC7EFF"/>
    <w:rsid w:val="00ED1FF0"/>
    <w:rsid w:val="00EE0A6D"/>
    <w:rsid w:val="00EE24DF"/>
    <w:rsid w:val="00EE578C"/>
    <w:rsid w:val="00EE736F"/>
    <w:rsid w:val="00EF10B0"/>
    <w:rsid w:val="00EF22FE"/>
    <w:rsid w:val="00EF331A"/>
    <w:rsid w:val="00EF477C"/>
    <w:rsid w:val="00EF4C3E"/>
    <w:rsid w:val="00EF6209"/>
    <w:rsid w:val="00EF7EF7"/>
    <w:rsid w:val="00F0068D"/>
    <w:rsid w:val="00F00A6A"/>
    <w:rsid w:val="00F02260"/>
    <w:rsid w:val="00F04150"/>
    <w:rsid w:val="00F042D5"/>
    <w:rsid w:val="00F05263"/>
    <w:rsid w:val="00F066E6"/>
    <w:rsid w:val="00F06876"/>
    <w:rsid w:val="00F07048"/>
    <w:rsid w:val="00F147FA"/>
    <w:rsid w:val="00F2030A"/>
    <w:rsid w:val="00F2048A"/>
    <w:rsid w:val="00F20600"/>
    <w:rsid w:val="00F20682"/>
    <w:rsid w:val="00F2097C"/>
    <w:rsid w:val="00F20A86"/>
    <w:rsid w:val="00F218D0"/>
    <w:rsid w:val="00F263B1"/>
    <w:rsid w:val="00F26C18"/>
    <w:rsid w:val="00F26FCD"/>
    <w:rsid w:val="00F3250D"/>
    <w:rsid w:val="00F3306D"/>
    <w:rsid w:val="00F34F5C"/>
    <w:rsid w:val="00F3527A"/>
    <w:rsid w:val="00F36C1A"/>
    <w:rsid w:val="00F37642"/>
    <w:rsid w:val="00F37A3B"/>
    <w:rsid w:val="00F37D14"/>
    <w:rsid w:val="00F4044E"/>
    <w:rsid w:val="00F404CA"/>
    <w:rsid w:val="00F416EB"/>
    <w:rsid w:val="00F44EF8"/>
    <w:rsid w:val="00F46C03"/>
    <w:rsid w:val="00F51970"/>
    <w:rsid w:val="00F53643"/>
    <w:rsid w:val="00F547C3"/>
    <w:rsid w:val="00F55204"/>
    <w:rsid w:val="00F56D58"/>
    <w:rsid w:val="00F56F7C"/>
    <w:rsid w:val="00F574D0"/>
    <w:rsid w:val="00F612A8"/>
    <w:rsid w:val="00F61BB1"/>
    <w:rsid w:val="00F623A0"/>
    <w:rsid w:val="00F62AB0"/>
    <w:rsid w:val="00F63F7F"/>
    <w:rsid w:val="00F640F3"/>
    <w:rsid w:val="00F71BAC"/>
    <w:rsid w:val="00F73C56"/>
    <w:rsid w:val="00F740A8"/>
    <w:rsid w:val="00F77E17"/>
    <w:rsid w:val="00F77E30"/>
    <w:rsid w:val="00F77F9A"/>
    <w:rsid w:val="00F8103F"/>
    <w:rsid w:val="00F814AF"/>
    <w:rsid w:val="00F8153C"/>
    <w:rsid w:val="00F825C7"/>
    <w:rsid w:val="00F82C69"/>
    <w:rsid w:val="00F91D30"/>
    <w:rsid w:val="00F92942"/>
    <w:rsid w:val="00F93C93"/>
    <w:rsid w:val="00F9496C"/>
    <w:rsid w:val="00F95EA5"/>
    <w:rsid w:val="00F96111"/>
    <w:rsid w:val="00F9665A"/>
    <w:rsid w:val="00FA2442"/>
    <w:rsid w:val="00FA7BE7"/>
    <w:rsid w:val="00FB0081"/>
    <w:rsid w:val="00FB1CFD"/>
    <w:rsid w:val="00FB5F96"/>
    <w:rsid w:val="00FB6724"/>
    <w:rsid w:val="00FB6969"/>
    <w:rsid w:val="00FC030A"/>
    <w:rsid w:val="00FC0842"/>
    <w:rsid w:val="00FC29B5"/>
    <w:rsid w:val="00FD0526"/>
    <w:rsid w:val="00FD0A65"/>
    <w:rsid w:val="00FD1C7C"/>
    <w:rsid w:val="00FD1EDD"/>
    <w:rsid w:val="00FD6DA2"/>
    <w:rsid w:val="00FD7CD9"/>
    <w:rsid w:val="00FE0CB2"/>
    <w:rsid w:val="00FE51F8"/>
    <w:rsid w:val="00FE7B21"/>
    <w:rsid w:val="00FF2EB0"/>
    <w:rsid w:val="00FF413B"/>
    <w:rsid w:val="00FF540B"/>
    <w:rsid w:val="00FF54DC"/>
    <w:rsid w:val="029F7BBA"/>
    <w:rsid w:val="03EF3EBE"/>
    <w:rsid w:val="06ED7B55"/>
    <w:rsid w:val="08BB41C4"/>
    <w:rsid w:val="09A71DD4"/>
    <w:rsid w:val="09DB5A42"/>
    <w:rsid w:val="0B683C73"/>
    <w:rsid w:val="0B801934"/>
    <w:rsid w:val="0BA83DBF"/>
    <w:rsid w:val="0C0000E3"/>
    <w:rsid w:val="0C002F86"/>
    <w:rsid w:val="0C1D28C8"/>
    <w:rsid w:val="0F281C8E"/>
    <w:rsid w:val="0F9A5C11"/>
    <w:rsid w:val="106E6475"/>
    <w:rsid w:val="11571580"/>
    <w:rsid w:val="12533C20"/>
    <w:rsid w:val="137228B7"/>
    <w:rsid w:val="13DF2F4B"/>
    <w:rsid w:val="147A7CA1"/>
    <w:rsid w:val="162D1484"/>
    <w:rsid w:val="17203968"/>
    <w:rsid w:val="176E6749"/>
    <w:rsid w:val="190943FD"/>
    <w:rsid w:val="194C41A2"/>
    <w:rsid w:val="19C911CE"/>
    <w:rsid w:val="19CC64C5"/>
    <w:rsid w:val="19E6543B"/>
    <w:rsid w:val="1A8846F7"/>
    <w:rsid w:val="1BA2279D"/>
    <w:rsid w:val="1BDD7480"/>
    <w:rsid w:val="1D0E671F"/>
    <w:rsid w:val="1D590126"/>
    <w:rsid w:val="1DC57DAF"/>
    <w:rsid w:val="1E4E4D40"/>
    <w:rsid w:val="1F0B3FB7"/>
    <w:rsid w:val="20BF0E4A"/>
    <w:rsid w:val="219813EA"/>
    <w:rsid w:val="25186637"/>
    <w:rsid w:val="253533C5"/>
    <w:rsid w:val="256E139B"/>
    <w:rsid w:val="25986D72"/>
    <w:rsid w:val="25C07769"/>
    <w:rsid w:val="25C6791F"/>
    <w:rsid w:val="295D392A"/>
    <w:rsid w:val="2A5D3C60"/>
    <w:rsid w:val="2A7206A3"/>
    <w:rsid w:val="2ACC0667"/>
    <w:rsid w:val="2AEE502C"/>
    <w:rsid w:val="2B42677D"/>
    <w:rsid w:val="2B873022"/>
    <w:rsid w:val="2BC81988"/>
    <w:rsid w:val="2CF6456B"/>
    <w:rsid w:val="2E691D45"/>
    <w:rsid w:val="2FFC4700"/>
    <w:rsid w:val="312471AE"/>
    <w:rsid w:val="3217196E"/>
    <w:rsid w:val="34660969"/>
    <w:rsid w:val="34B61A22"/>
    <w:rsid w:val="34CE3358"/>
    <w:rsid w:val="3581018C"/>
    <w:rsid w:val="36585409"/>
    <w:rsid w:val="36F60A58"/>
    <w:rsid w:val="37601390"/>
    <w:rsid w:val="392C4A6D"/>
    <w:rsid w:val="39A44463"/>
    <w:rsid w:val="3AE15444"/>
    <w:rsid w:val="3DB637BE"/>
    <w:rsid w:val="3F263985"/>
    <w:rsid w:val="4048469C"/>
    <w:rsid w:val="41D86A6A"/>
    <w:rsid w:val="459E2F7E"/>
    <w:rsid w:val="46C24E55"/>
    <w:rsid w:val="471A4266"/>
    <w:rsid w:val="482B4650"/>
    <w:rsid w:val="4B600FCC"/>
    <w:rsid w:val="4C71622C"/>
    <w:rsid w:val="4D735295"/>
    <w:rsid w:val="4D983E25"/>
    <w:rsid w:val="4E5237F7"/>
    <w:rsid w:val="4EAF01A5"/>
    <w:rsid w:val="50311597"/>
    <w:rsid w:val="504944AB"/>
    <w:rsid w:val="5123678D"/>
    <w:rsid w:val="549254B8"/>
    <w:rsid w:val="56E1439E"/>
    <w:rsid w:val="581E0F10"/>
    <w:rsid w:val="585356D7"/>
    <w:rsid w:val="585356F2"/>
    <w:rsid w:val="59DF1227"/>
    <w:rsid w:val="5AF85669"/>
    <w:rsid w:val="5C93729E"/>
    <w:rsid w:val="5CF96949"/>
    <w:rsid w:val="5DAE40E6"/>
    <w:rsid w:val="5DB51860"/>
    <w:rsid w:val="5E3C5805"/>
    <w:rsid w:val="625F02AF"/>
    <w:rsid w:val="62B20BD0"/>
    <w:rsid w:val="62F26BD0"/>
    <w:rsid w:val="62FD772E"/>
    <w:rsid w:val="63371A62"/>
    <w:rsid w:val="6505341F"/>
    <w:rsid w:val="6566705C"/>
    <w:rsid w:val="65C74A5F"/>
    <w:rsid w:val="6BBC1E9A"/>
    <w:rsid w:val="6D925B1D"/>
    <w:rsid w:val="6DFD3B4E"/>
    <w:rsid w:val="6F425301"/>
    <w:rsid w:val="70712977"/>
    <w:rsid w:val="70EA1818"/>
    <w:rsid w:val="72EB1277"/>
    <w:rsid w:val="73C4583A"/>
    <w:rsid w:val="75A335AF"/>
    <w:rsid w:val="764C5F9F"/>
    <w:rsid w:val="769A17C7"/>
    <w:rsid w:val="78200892"/>
    <w:rsid w:val="793965D3"/>
    <w:rsid w:val="7A07406A"/>
    <w:rsid w:val="7A3B0BCF"/>
    <w:rsid w:val="7A45554D"/>
    <w:rsid w:val="7ACB0FD3"/>
    <w:rsid w:val="7C16483B"/>
    <w:rsid w:val="7DD07EAD"/>
    <w:rsid w:val="7F0864C5"/>
    <w:rsid w:val="7FD1204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nhideWhenUsed="0" w:uiPriority="99" w:semiHidden="0" w:name="heading 6"/>
    <w:lsdException w:qFormat="1" w:unhideWhenUsed="0" w:uiPriority="99" w:semiHidden="0" w:name="heading 7"/>
    <w:lsdException w:qFormat="1" w:unhideWhenUsed="0" w:uiPriority="99" w:semiHidden="0" w:name="heading 8"/>
    <w:lsdException w:qFormat="1" w:unhideWhenUsed="0" w:uiPriority="9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99" w:semiHidden="0" w:name="toc 5"/>
    <w:lsdException w:qFormat="1" w:unhideWhenUsed="0" w:uiPriority="99" w:semiHidden="0" w:name="toc 6"/>
    <w:lsdException w:qFormat="1" w:unhideWhenUsed="0" w:uiPriority="99" w:semiHidden="0" w:name="toc 7"/>
    <w:lsdException w:qFormat="1" w:unhideWhenUsed="0" w:uiPriority="99" w:semiHidden="0" w:name="toc 8"/>
    <w:lsdException w:qFormat="1" w:unhideWhenUsed="0" w:uiPriority="99" w:semiHidden="0" w:name="toc 9"/>
    <w:lsdException w:uiPriority="99" w:name="Normal Indent"/>
    <w:lsdException w:qFormat="1" w:unhideWhenUsed="0"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qFormat="1" w:unhideWhenUsed="0" w:uiPriority="99" w:name="footnote reference"/>
    <w:lsdException w:qFormat="1" w:unhideWhenUsed="0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99" w:semiHidden="0" w:name="Emphasis"/>
    <w:lsdException w:qFormat="1" w:unhideWhenUsed="0"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43"/>
    <w:qFormat/>
    <w:uiPriority w:val="99"/>
    <w:pPr>
      <w:keepNext/>
      <w:keepLines/>
      <w:widowControl w:val="0"/>
      <w:spacing w:before="340" w:after="330" w:line="576" w:lineRule="auto"/>
      <w:jc w:val="both"/>
      <w:outlineLvl w:val="0"/>
    </w:pPr>
    <w:rPr>
      <w:rFonts w:ascii="仿宋_GB2312" w:eastAsia="仿宋_GB2312" w:cs="Times New Roman"/>
      <w:b/>
      <w:color w:val="000000"/>
      <w:kern w:val="44"/>
      <w:sz w:val="44"/>
      <w:szCs w:val="20"/>
    </w:rPr>
  </w:style>
  <w:style w:type="paragraph" w:styleId="3">
    <w:name w:val="heading 2"/>
    <w:basedOn w:val="1"/>
    <w:next w:val="1"/>
    <w:link w:val="44"/>
    <w:qFormat/>
    <w:uiPriority w:val="99"/>
    <w:pPr>
      <w:keepNext/>
      <w:keepLines/>
      <w:widowControl w:val="0"/>
      <w:spacing w:before="260" w:after="260"/>
      <w:jc w:val="center"/>
      <w:outlineLvl w:val="1"/>
    </w:pPr>
    <w:rPr>
      <w:rFonts w:eastAsia="华文中宋" w:cs="Times New Roman"/>
      <w:b/>
      <w:bCs/>
      <w:sz w:val="30"/>
      <w:szCs w:val="44"/>
    </w:rPr>
  </w:style>
  <w:style w:type="paragraph" w:styleId="4">
    <w:name w:val="heading 3"/>
    <w:basedOn w:val="1"/>
    <w:next w:val="1"/>
    <w:link w:val="45"/>
    <w:qFormat/>
    <w:uiPriority w:val="99"/>
    <w:pPr>
      <w:keepNext/>
      <w:keepLines/>
      <w:widowControl w:val="0"/>
      <w:spacing w:before="260" w:after="260"/>
      <w:ind w:firstLine="200" w:firstLineChars="200"/>
      <w:jc w:val="center"/>
      <w:outlineLvl w:val="2"/>
    </w:pPr>
    <w:rPr>
      <w:rFonts w:ascii="Calibri" w:hAnsi="Calibri" w:eastAsia="黑体" w:cs="Times New Roman"/>
      <w:bCs/>
      <w:kern w:val="2"/>
      <w:sz w:val="30"/>
      <w:szCs w:val="32"/>
    </w:rPr>
  </w:style>
  <w:style w:type="paragraph" w:styleId="5">
    <w:name w:val="heading 4"/>
    <w:basedOn w:val="4"/>
    <w:next w:val="1"/>
    <w:link w:val="46"/>
    <w:qFormat/>
    <w:uiPriority w:val="99"/>
    <w:pPr>
      <w:spacing w:before="280" w:after="290"/>
      <w:jc w:val="left"/>
      <w:outlineLvl w:val="3"/>
    </w:pPr>
    <w:rPr>
      <w:rFonts w:ascii="Cambria" w:hAnsi="Cambria" w:eastAsia="仿宋_GB2312"/>
      <w:b/>
      <w:szCs w:val="28"/>
    </w:rPr>
  </w:style>
  <w:style w:type="paragraph" w:styleId="6">
    <w:name w:val="heading 5"/>
    <w:basedOn w:val="1"/>
    <w:next w:val="1"/>
    <w:link w:val="47"/>
    <w:qFormat/>
    <w:uiPriority w:val="99"/>
    <w:pPr>
      <w:keepNext/>
      <w:keepLines/>
      <w:widowControl w:val="0"/>
      <w:spacing w:before="280" w:after="290" w:line="376" w:lineRule="auto"/>
      <w:jc w:val="both"/>
      <w:outlineLvl w:val="4"/>
    </w:pPr>
    <w:rPr>
      <w:rFonts w:ascii="Calibri" w:hAnsi="Calibri" w:cs="Times New Roman"/>
      <w:b/>
      <w:bCs/>
      <w:kern w:val="2"/>
      <w:sz w:val="28"/>
      <w:szCs w:val="28"/>
    </w:rPr>
  </w:style>
  <w:style w:type="paragraph" w:styleId="7">
    <w:name w:val="heading 6"/>
    <w:basedOn w:val="1"/>
    <w:next w:val="1"/>
    <w:link w:val="48"/>
    <w:qFormat/>
    <w:uiPriority w:val="99"/>
    <w:pPr>
      <w:keepNext/>
      <w:keepLines/>
      <w:widowControl w:val="0"/>
      <w:spacing w:before="240" w:after="64" w:line="319" w:lineRule="auto"/>
      <w:ind w:left="1276"/>
      <w:jc w:val="both"/>
      <w:outlineLvl w:val="5"/>
    </w:pPr>
    <w:rPr>
      <w:rFonts w:ascii="Arial" w:hAnsi="Arial" w:eastAsia="仿宋_GB2312" w:cs="Times New Roman"/>
      <w:b/>
      <w:bCs/>
      <w:color w:val="000000"/>
      <w:kern w:val="16"/>
      <w:sz w:val="30"/>
      <w:szCs w:val="30"/>
    </w:rPr>
  </w:style>
  <w:style w:type="paragraph" w:styleId="8">
    <w:name w:val="heading 7"/>
    <w:basedOn w:val="1"/>
    <w:next w:val="1"/>
    <w:link w:val="49"/>
    <w:qFormat/>
    <w:uiPriority w:val="99"/>
    <w:pPr>
      <w:keepNext/>
      <w:keepLines/>
      <w:widowControl w:val="0"/>
      <w:spacing w:before="240" w:after="64" w:line="319" w:lineRule="auto"/>
      <w:ind w:left="1276"/>
      <w:jc w:val="both"/>
      <w:outlineLvl w:val="6"/>
    </w:pPr>
    <w:rPr>
      <w:rFonts w:ascii="仿宋_GB2312" w:eastAsia="仿宋_GB2312" w:cs="Times New Roman"/>
      <w:b/>
      <w:bCs/>
      <w:color w:val="000000"/>
      <w:kern w:val="16"/>
      <w:sz w:val="30"/>
      <w:szCs w:val="30"/>
    </w:rPr>
  </w:style>
  <w:style w:type="paragraph" w:styleId="9">
    <w:name w:val="heading 8"/>
    <w:basedOn w:val="1"/>
    <w:next w:val="1"/>
    <w:link w:val="50"/>
    <w:qFormat/>
    <w:uiPriority w:val="99"/>
    <w:pPr>
      <w:keepNext/>
      <w:keepLines/>
      <w:widowControl w:val="0"/>
      <w:spacing w:before="240" w:after="64" w:line="320" w:lineRule="auto"/>
      <w:jc w:val="both"/>
      <w:outlineLvl w:val="7"/>
    </w:pPr>
    <w:rPr>
      <w:rFonts w:ascii="Cambria" w:hAnsi="Cambria" w:cs="Times New Roman"/>
      <w:kern w:val="2"/>
    </w:rPr>
  </w:style>
  <w:style w:type="paragraph" w:styleId="10">
    <w:name w:val="heading 9"/>
    <w:basedOn w:val="1"/>
    <w:next w:val="1"/>
    <w:link w:val="51"/>
    <w:qFormat/>
    <w:uiPriority w:val="99"/>
    <w:pPr>
      <w:overflowPunct w:val="0"/>
      <w:autoSpaceDE w:val="0"/>
      <w:autoSpaceDN w:val="0"/>
      <w:adjustRightInd w:val="0"/>
      <w:spacing w:before="240" w:after="60" w:line="360" w:lineRule="auto"/>
      <w:ind w:left="1276"/>
      <w:jc w:val="both"/>
      <w:textAlignment w:val="baseline"/>
      <w:outlineLvl w:val="8"/>
    </w:pPr>
    <w:rPr>
      <w:rFonts w:ascii="Arial" w:hAnsi="Arial" w:eastAsia="仿宋_GB2312" w:cs="Times New Roman"/>
      <w:i/>
      <w:iCs/>
      <w:color w:val="000000"/>
      <w:sz w:val="18"/>
      <w:szCs w:val="18"/>
    </w:rPr>
  </w:style>
  <w:style w:type="character" w:default="1" w:styleId="36">
    <w:name w:val="Default Paragraph Font"/>
    <w:semiHidden/>
    <w:unhideWhenUsed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qFormat/>
    <w:uiPriority w:val="99"/>
    <w:pPr>
      <w:ind w:left="1440"/>
    </w:pPr>
    <w:rPr>
      <w:rFonts w:asciiTheme="minorHAnsi" w:hAnsiTheme="minorHAnsi" w:cstheme="minorHAnsi"/>
      <w:sz w:val="18"/>
      <w:szCs w:val="18"/>
    </w:rPr>
  </w:style>
  <w:style w:type="paragraph" w:styleId="12">
    <w:name w:val="Document Map"/>
    <w:basedOn w:val="1"/>
    <w:link w:val="107"/>
    <w:semiHidden/>
    <w:qFormat/>
    <w:uiPriority w:val="99"/>
    <w:pPr>
      <w:widowControl w:val="0"/>
      <w:jc w:val="both"/>
    </w:pPr>
    <w:rPr>
      <w:rFonts w:hAnsi="Calibri" w:cs="Times New Roman"/>
      <w:kern w:val="2"/>
      <w:sz w:val="18"/>
      <w:szCs w:val="20"/>
    </w:rPr>
  </w:style>
  <w:style w:type="paragraph" w:styleId="13">
    <w:name w:val="annotation text"/>
    <w:basedOn w:val="1"/>
    <w:link w:val="127"/>
    <w:semiHidden/>
    <w:qFormat/>
    <w:uiPriority w:val="99"/>
    <w:pPr>
      <w:widowControl w:val="0"/>
    </w:pPr>
    <w:rPr>
      <w:rFonts w:ascii="仿宋_GB2312" w:eastAsia="仿宋_GB2312" w:cs="Times New Roman"/>
      <w:color w:val="000000"/>
      <w:kern w:val="16"/>
      <w:sz w:val="30"/>
      <w:szCs w:val="30"/>
    </w:rPr>
  </w:style>
  <w:style w:type="paragraph" w:styleId="14">
    <w:name w:val="Body Text"/>
    <w:basedOn w:val="1"/>
    <w:qFormat/>
    <w:uiPriority w:val="1"/>
    <w:pPr>
      <w:spacing w:before="61"/>
      <w:ind w:left="117"/>
    </w:pPr>
    <w:rPr>
      <w:sz w:val="30"/>
      <w:szCs w:val="30"/>
    </w:rPr>
  </w:style>
  <w:style w:type="paragraph" w:styleId="15">
    <w:name w:val="Body Text Indent"/>
    <w:basedOn w:val="1"/>
    <w:link w:val="126"/>
    <w:qFormat/>
    <w:uiPriority w:val="99"/>
    <w:pPr>
      <w:widowControl w:val="0"/>
      <w:ind w:firstLine="600" w:firstLineChars="200"/>
      <w:jc w:val="both"/>
    </w:pPr>
    <w:rPr>
      <w:rFonts w:ascii="仿宋_GB2312" w:hAnsi="Calibri" w:eastAsia="仿宋_GB2312" w:cs="Times New Roman"/>
      <w:sz w:val="30"/>
      <w:szCs w:val="20"/>
    </w:rPr>
  </w:style>
  <w:style w:type="paragraph" w:styleId="16">
    <w:name w:val="toc 5"/>
    <w:basedOn w:val="1"/>
    <w:next w:val="1"/>
    <w:qFormat/>
    <w:uiPriority w:val="99"/>
    <w:pPr>
      <w:ind w:left="960"/>
    </w:pPr>
    <w:rPr>
      <w:rFonts w:asciiTheme="minorHAnsi" w:hAnsiTheme="minorHAnsi" w:cstheme="minorHAnsi"/>
      <w:sz w:val="18"/>
      <w:szCs w:val="18"/>
    </w:rPr>
  </w:style>
  <w:style w:type="paragraph" w:styleId="17">
    <w:name w:val="toc 3"/>
    <w:basedOn w:val="1"/>
    <w:next w:val="1"/>
    <w:link w:val="112"/>
    <w:qFormat/>
    <w:uiPriority w:val="39"/>
    <w:pPr>
      <w:ind w:left="480"/>
    </w:pPr>
    <w:rPr>
      <w:rFonts w:asciiTheme="minorHAnsi" w:hAnsiTheme="minorHAnsi" w:cstheme="minorHAnsi"/>
      <w:i/>
      <w:iCs/>
      <w:sz w:val="20"/>
      <w:szCs w:val="20"/>
    </w:rPr>
  </w:style>
  <w:style w:type="paragraph" w:styleId="18">
    <w:name w:val="toc 8"/>
    <w:basedOn w:val="1"/>
    <w:next w:val="1"/>
    <w:qFormat/>
    <w:uiPriority w:val="99"/>
    <w:pPr>
      <w:ind w:left="1680"/>
    </w:pPr>
    <w:rPr>
      <w:rFonts w:asciiTheme="minorHAnsi" w:hAnsiTheme="minorHAnsi" w:cstheme="minorHAnsi"/>
      <w:sz w:val="18"/>
      <w:szCs w:val="18"/>
    </w:rPr>
  </w:style>
  <w:style w:type="paragraph" w:styleId="19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20">
    <w:name w:val="Balloon Text"/>
    <w:basedOn w:val="1"/>
    <w:link w:val="103"/>
    <w:semiHidden/>
    <w:qFormat/>
    <w:uiPriority w:val="99"/>
    <w:pPr>
      <w:widowControl w:val="0"/>
      <w:jc w:val="both"/>
    </w:pPr>
    <w:rPr>
      <w:rFonts w:ascii="Calibri" w:hAnsi="Calibri" w:cs="Times New Roman"/>
      <w:kern w:val="2"/>
      <w:sz w:val="18"/>
      <w:szCs w:val="20"/>
    </w:rPr>
  </w:style>
  <w:style w:type="paragraph" w:styleId="21">
    <w:name w:val="footer"/>
    <w:basedOn w:val="1"/>
    <w:link w:val="76"/>
    <w:qFormat/>
    <w:uiPriority w:val="99"/>
    <w:pPr>
      <w:tabs>
        <w:tab w:val="center" w:pos="4153"/>
        <w:tab w:val="right" w:pos="8306"/>
      </w:tabs>
      <w:snapToGrid w:val="0"/>
    </w:pPr>
    <w:rPr>
      <w:rFonts w:cs="Times New Roman"/>
      <w:sz w:val="18"/>
      <w:szCs w:val="18"/>
    </w:rPr>
  </w:style>
  <w:style w:type="paragraph" w:styleId="22">
    <w:name w:val="header"/>
    <w:basedOn w:val="1"/>
    <w:link w:val="7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23">
    <w:name w:val="toc 1"/>
    <w:basedOn w:val="17"/>
    <w:next w:val="1"/>
    <w:link w:val="113"/>
    <w:qFormat/>
    <w:uiPriority w:val="39"/>
    <w:pPr>
      <w:spacing w:before="120" w:after="120"/>
      <w:ind w:left="0"/>
    </w:pPr>
    <w:rPr>
      <w:b/>
      <w:bCs/>
      <w:i w:val="0"/>
      <w:iCs w:val="0"/>
      <w:caps/>
    </w:rPr>
  </w:style>
  <w:style w:type="paragraph" w:styleId="24">
    <w:name w:val="toc 4"/>
    <w:basedOn w:val="1"/>
    <w:next w:val="1"/>
    <w:qFormat/>
    <w:uiPriority w:val="39"/>
    <w:pPr>
      <w:ind w:left="720"/>
    </w:pPr>
    <w:rPr>
      <w:rFonts w:asciiTheme="minorHAnsi" w:hAnsiTheme="minorHAnsi" w:cstheme="minorHAnsi"/>
      <w:sz w:val="18"/>
      <w:szCs w:val="18"/>
    </w:rPr>
  </w:style>
  <w:style w:type="paragraph" w:styleId="25">
    <w:name w:val="Subtitle"/>
    <w:basedOn w:val="1"/>
    <w:next w:val="1"/>
    <w:link w:val="109"/>
    <w:qFormat/>
    <w:uiPriority w:val="99"/>
    <w:pPr>
      <w:widowControl w:val="0"/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0"/>
      <w:szCs w:val="32"/>
    </w:rPr>
  </w:style>
  <w:style w:type="paragraph" w:styleId="26">
    <w:name w:val="footnote text"/>
    <w:basedOn w:val="1"/>
    <w:link w:val="105"/>
    <w:semiHidden/>
    <w:qFormat/>
    <w:uiPriority w:val="99"/>
    <w:pPr>
      <w:widowControl w:val="0"/>
      <w:snapToGrid w:val="0"/>
    </w:pPr>
    <w:rPr>
      <w:rFonts w:ascii="Calibri" w:hAnsi="Calibri" w:cs="Times New Roman"/>
      <w:kern w:val="2"/>
      <w:sz w:val="18"/>
      <w:szCs w:val="20"/>
    </w:rPr>
  </w:style>
  <w:style w:type="paragraph" w:styleId="27">
    <w:name w:val="toc 6"/>
    <w:basedOn w:val="1"/>
    <w:next w:val="1"/>
    <w:qFormat/>
    <w:uiPriority w:val="99"/>
    <w:pPr>
      <w:ind w:left="1200"/>
    </w:pPr>
    <w:rPr>
      <w:rFonts w:asciiTheme="minorHAnsi" w:hAnsiTheme="minorHAnsi" w:cstheme="minorHAnsi"/>
      <w:sz w:val="18"/>
      <w:szCs w:val="18"/>
    </w:rPr>
  </w:style>
  <w:style w:type="paragraph" w:styleId="28">
    <w:name w:val="toc 2"/>
    <w:basedOn w:val="23"/>
    <w:next w:val="1"/>
    <w:link w:val="114"/>
    <w:qFormat/>
    <w:uiPriority w:val="39"/>
    <w:pPr>
      <w:spacing w:before="0" w:after="0"/>
      <w:ind w:left="240"/>
    </w:pPr>
    <w:rPr>
      <w:b w:val="0"/>
      <w:bCs w:val="0"/>
      <w:caps w:val="0"/>
      <w:smallCaps/>
    </w:rPr>
  </w:style>
  <w:style w:type="paragraph" w:styleId="29">
    <w:name w:val="toc 9"/>
    <w:basedOn w:val="1"/>
    <w:next w:val="1"/>
    <w:qFormat/>
    <w:uiPriority w:val="99"/>
    <w:pPr>
      <w:ind w:left="1920"/>
    </w:pPr>
    <w:rPr>
      <w:rFonts w:asciiTheme="minorHAnsi" w:hAnsiTheme="minorHAnsi" w:cstheme="minorHAnsi"/>
      <w:sz w:val="18"/>
      <w:szCs w:val="18"/>
    </w:rPr>
  </w:style>
  <w:style w:type="paragraph" w:styleId="30">
    <w:name w:val="HTML Preformatted"/>
    <w:basedOn w:val="1"/>
    <w:link w:val="140"/>
    <w:semiHidden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cs="Times New Roman"/>
    </w:rPr>
  </w:style>
  <w:style w:type="paragraph" w:styleId="31">
    <w:name w:val="Normal (Web)"/>
    <w:basedOn w:val="1"/>
    <w:qFormat/>
    <w:uiPriority w:val="99"/>
    <w:pPr>
      <w:spacing w:before="100" w:beforeAutospacing="1" w:after="100" w:afterAutospacing="1"/>
    </w:pPr>
  </w:style>
  <w:style w:type="paragraph" w:styleId="32">
    <w:name w:val="Title"/>
    <w:basedOn w:val="1"/>
    <w:next w:val="1"/>
    <w:link w:val="108"/>
    <w:qFormat/>
    <w:uiPriority w:val="99"/>
    <w:pPr>
      <w:widowControl w:val="0"/>
      <w:spacing w:before="240" w:after="60"/>
      <w:jc w:val="center"/>
      <w:outlineLvl w:val="0"/>
    </w:pPr>
    <w:rPr>
      <w:rFonts w:ascii="Cambria" w:hAnsi="Cambria" w:cs="Times New Roman"/>
      <w:b/>
      <w:bCs/>
      <w:kern w:val="2"/>
      <w:sz w:val="32"/>
      <w:szCs w:val="32"/>
    </w:rPr>
  </w:style>
  <w:style w:type="paragraph" w:styleId="33">
    <w:name w:val="annotation subject"/>
    <w:basedOn w:val="13"/>
    <w:next w:val="13"/>
    <w:link w:val="128"/>
    <w:semiHidden/>
    <w:qFormat/>
    <w:uiPriority w:val="99"/>
    <w:rPr>
      <w:b/>
      <w:bCs/>
    </w:rPr>
  </w:style>
  <w:style w:type="table" w:styleId="35">
    <w:name w:val="Table Grid"/>
    <w:basedOn w:val="34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7">
    <w:name w:val="Strong"/>
    <w:basedOn w:val="36"/>
    <w:qFormat/>
    <w:locked/>
    <w:uiPriority w:val="0"/>
    <w:rPr>
      <w:b/>
      <w:bCs/>
    </w:rPr>
  </w:style>
  <w:style w:type="character" w:styleId="38">
    <w:name w:val="page number"/>
    <w:basedOn w:val="36"/>
    <w:qFormat/>
    <w:uiPriority w:val="99"/>
    <w:rPr>
      <w:rFonts w:eastAsia="宋体" w:cs="Times New Roman"/>
      <w:kern w:val="2"/>
      <w:sz w:val="24"/>
      <w:lang w:val="en-US" w:eastAsia="zh-CN"/>
    </w:rPr>
  </w:style>
  <w:style w:type="character" w:styleId="39">
    <w:name w:val="Emphasis"/>
    <w:basedOn w:val="36"/>
    <w:qFormat/>
    <w:uiPriority w:val="99"/>
    <w:rPr>
      <w:rFonts w:cs="Times New Roman"/>
      <w:i/>
    </w:rPr>
  </w:style>
  <w:style w:type="character" w:styleId="40">
    <w:name w:val="Hyperlink"/>
    <w:basedOn w:val="36"/>
    <w:qFormat/>
    <w:uiPriority w:val="99"/>
    <w:rPr>
      <w:rFonts w:cs="Times New Roman"/>
      <w:color w:val="0000FF"/>
      <w:u w:val="single"/>
    </w:rPr>
  </w:style>
  <w:style w:type="character" w:styleId="41">
    <w:name w:val="annotation reference"/>
    <w:basedOn w:val="36"/>
    <w:semiHidden/>
    <w:qFormat/>
    <w:uiPriority w:val="99"/>
    <w:rPr>
      <w:rFonts w:eastAsia="宋体" w:cs="Times New Roman"/>
      <w:kern w:val="2"/>
      <w:sz w:val="21"/>
      <w:lang w:val="en-US" w:eastAsia="zh-CN"/>
    </w:rPr>
  </w:style>
  <w:style w:type="character" w:styleId="42">
    <w:name w:val="footnote reference"/>
    <w:basedOn w:val="36"/>
    <w:semiHidden/>
    <w:qFormat/>
    <w:uiPriority w:val="99"/>
    <w:rPr>
      <w:rFonts w:eastAsia="宋体" w:cs="Times New Roman"/>
      <w:kern w:val="2"/>
      <w:sz w:val="24"/>
      <w:vertAlign w:val="superscript"/>
      <w:lang w:val="en-US" w:eastAsia="zh-CN"/>
    </w:rPr>
  </w:style>
  <w:style w:type="character" w:customStyle="1" w:styleId="43">
    <w:name w:val="标题 1 字符"/>
    <w:basedOn w:val="36"/>
    <w:link w:val="2"/>
    <w:qFormat/>
    <w:locked/>
    <w:uiPriority w:val="99"/>
    <w:rPr>
      <w:rFonts w:ascii="仿宋_GB2312" w:hAnsi="宋体" w:eastAsia="仿宋_GB2312"/>
      <w:b/>
      <w:color w:val="000000"/>
      <w:kern w:val="44"/>
      <w:sz w:val="44"/>
    </w:rPr>
  </w:style>
  <w:style w:type="character" w:customStyle="1" w:styleId="44">
    <w:name w:val="标题 2 字符"/>
    <w:basedOn w:val="36"/>
    <w:link w:val="3"/>
    <w:qFormat/>
    <w:locked/>
    <w:uiPriority w:val="99"/>
    <w:rPr>
      <w:rFonts w:ascii="宋体" w:hAnsi="宋体" w:eastAsia="华文中宋"/>
      <w:b/>
      <w:bCs/>
      <w:sz w:val="30"/>
      <w:szCs w:val="44"/>
    </w:rPr>
  </w:style>
  <w:style w:type="character" w:customStyle="1" w:styleId="45">
    <w:name w:val="标题 3 字符"/>
    <w:basedOn w:val="36"/>
    <w:link w:val="4"/>
    <w:qFormat/>
    <w:locked/>
    <w:uiPriority w:val="99"/>
    <w:rPr>
      <w:rFonts w:ascii="Calibri" w:hAnsi="Calibri" w:eastAsia="黑体"/>
      <w:kern w:val="2"/>
      <w:sz w:val="32"/>
    </w:rPr>
  </w:style>
  <w:style w:type="character" w:customStyle="1" w:styleId="46">
    <w:name w:val="标题 4 字符"/>
    <w:basedOn w:val="36"/>
    <w:link w:val="5"/>
    <w:qFormat/>
    <w:locked/>
    <w:uiPriority w:val="99"/>
    <w:rPr>
      <w:rFonts w:ascii="Cambria" w:hAnsi="Cambria" w:eastAsia="仿宋_GB2312"/>
      <w:b/>
      <w:kern w:val="2"/>
      <w:sz w:val="28"/>
    </w:rPr>
  </w:style>
  <w:style w:type="character" w:customStyle="1" w:styleId="47">
    <w:name w:val="标题 5 字符"/>
    <w:basedOn w:val="36"/>
    <w:link w:val="6"/>
    <w:qFormat/>
    <w:locked/>
    <w:uiPriority w:val="99"/>
    <w:rPr>
      <w:rFonts w:ascii="Calibri" w:hAnsi="Calibri"/>
      <w:b/>
      <w:kern w:val="2"/>
      <w:sz w:val="28"/>
    </w:rPr>
  </w:style>
  <w:style w:type="character" w:customStyle="1" w:styleId="48">
    <w:name w:val="标题 6 字符"/>
    <w:basedOn w:val="36"/>
    <w:link w:val="7"/>
    <w:qFormat/>
    <w:locked/>
    <w:uiPriority w:val="99"/>
    <w:rPr>
      <w:rFonts w:ascii="Arial" w:hAnsi="Arial" w:eastAsia="仿宋_GB2312"/>
      <w:b/>
      <w:color w:val="000000"/>
      <w:kern w:val="16"/>
      <w:sz w:val="30"/>
    </w:rPr>
  </w:style>
  <w:style w:type="character" w:customStyle="1" w:styleId="49">
    <w:name w:val="标题 7 字符"/>
    <w:basedOn w:val="36"/>
    <w:link w:val="8"/>
    <w:qFormat/>
    <w:locked/>
    <w:uiPriority w:val="99"/>
    <w:rPr>
      <w:rFonts w:ascii="仿宋_GB2312" w:hAnsi="宋体" w:eastAsia="仿宋_GB2312"/>
      <w:b/>
      <w:color w:val="000000"/>
      <w:kern w:val="16"/>
      <w:sz w:val="30"/>
    </w:rPr>
  </w:style>
  <w:style w:type="character" w:customStyle="1" w:styleId="50">
    <w:name w:val="标题 8 字符"/>
    <w:basedOn w:val="36"/>
    <w:link w:val="9"/>
    <w:qFormat/>
    <w:locked/>
    <w:uiPriority w:val="99"/>
    <w:rPr>
      <w:rFonts w:ascii="Cambria" w:hAnsi="Cambria" w:eastAsia="宋体"/>
      <w:kern w:val="2"/>
      <w:sz w:val="24"/>
    </w:rPr>
  </w:style>
  <w:style w:type="character" w:customStyle="1" w:styleId="51">
    <w:name w:val="标题 9 字符"/>
    <w:basedOn w:val="36"/>
    <w:link w:val="10"/>
    <w:qFormat/>
    <w:locked/>
    <w:uiPriority w:val="99"/>
    <w:rPr>
      <w:rFonts w:ascii="Arial" w:hAnsi="Arial" w:eastAsia="仿宋_GB2312"/>
      <w:i/>
      <w:color w:val="000000"/>
      <w:sz w:val="18"/>
    </w:rPr>
  </w:style>
  <w:style w:type="paragraph" w:customStyle="1" w:styleId="52">
    <w:name w:val="font52478"/>
    <w:basedOn w:val="1"/>
    <w:qFormat/>
    <w:uiPriority w:val="99"/>
    <w:pPr>
      <w:spacing w:before="100" w:beforeAutospacing="1" w:after="100" w:afterAutospacing="1"/>
    </w:pPr>
    <w:rPr>
      <w:sz w:val="18"/>
      <w:szCs w:val="18"/>
    </w:rPr>
  </w:style>
  <w:style w:type="paragraph" w:customStyle="1" w:styleId="53">
    <w:name w:val="xl852478"/>
    <w:basedOn w:val="1"/>
    <w:qFormat/>
    <w:uiPriority w:val="99"/>
    <w:pPr>
      <w:pBdr>
        <w:top w:val="single" w:color="auto" w:sz="4" w:space="1"/>
        <w:left w:val="single" w:color="auto" w:sz="4" w:space="1"/>
        <w:bottom w:val="single" w:color="auto" w:sz="4" w:space="0"/>
        <w:right w:val="single" w:color="auto" w:sz="4" w:space="1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54">
    <w:name w:val="xl862478"/>
    <w:basedOn w:val="1"/>
    <w:qFormat/>
    <w:uiPriority w:val="99"/>
    <w:pPr>
      <w:pBdr>
        <w:top w:val="single" w:color="auto" w:sz="4" w:space="1"/>
        <w:left w:val="single" w:color="auto" w:sz="4" w:space="1"/>
        <w:bottom w:val="single" w:color="auto" w:sz="4" w:space="0"/>
        <w:right w:val="single" w:color="auto" w:sz="4" w:space="1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55">
    <w:name w:val="xl872478"/>
    <w:basedOn w:val="1"/>
    <w:qFormat/>
    <w:uiPriority w:val="99"/>
    <w:pPr>
      <w:spacing w:before="100" w:beforeAutospacing="1" w:after="100" w:afterAutospacing="1"/>
      <w:textAlignment w:val="center"/>
    </w:pPr>
    <w:rPr>
      <w:color w:val="000000"/>
      <w:sz w:val="22"/>
      <w:szCs w:val="22"/>
    </w:rPr>
  </w:style>
  <w:style w:type="paragraph" w:customStyle="1" w:styleId="56">
    <w:name w:val="xl882478"/>
    <w:basedOn w:val="1"/>
    <w:qFormat/>
    <w:uiPriority w:val="99"/>
    <w:pPr>
      <w:pBdr>
        <w:top w:val="single" w:color="auto" w:sz="4" w:space="1"/>
        <w:left w:val="single" w:color="auto" w:sz="4" w:space="1"/>
        <w:bottom w:val="single" w:color="auto" w:sz="4" w:space="0"/>
        <w:right w:val="single" w:color="auto" w:sz="4" w:space="1"/>
      </w:pBdr>
      <w:spacing w:before="100" w:beforeAutospacing="1" w:after="100" w:afterAutospacing="1"/>
      <w:textAlignment w:val="center"/>
    </w:pPr>
    <w:rPr>
      <w:color w:val="000000"/>
      <w:sz w:val="20"/>
      <w:szCs w:val="20"/>
    </w:rPr>
  </w:style>
  <w:style w:type="paragraph" w:customStyle="1" w:styleId="57">
    <w:name w:val="xl892478"/>
    <w:basedOn w:val="1"/>
    <w:qFormat/>
    <w:uiPriority w:val="99"/>
    <w:pPr>
      <w:spacing w:before="100" w:beforeAutospacing="1" w:after="100" w:afterAutospacing="1"/>
      <w:textAlignment w:val="center"/>
    </w:pPr>
    <w:rPr>
      <w:color w:val="000000"/>
      <w:sz w:val="20"/>
      <w:szCs w:val="20"/>
    </w:rPr>
  </w:style>
  <w:style w:type="paragraph" w:customStyle="1" w:styleId="58">
    <w:name w:val="xl902478"/>
    <w:basedOn w:val="1"/>
    <w:qFormat/>
    <w:uiPriority w:val="99"/>
    <w:pPr>
      <w:spacing w:before="100" w:beforeAutospacing="1" w:after="100" w:afterAutospacing="1"/>
      <w:textAlignment w:val="center"/>
    </w:pPr>
    <w:rPr>
      <w:b/>
      <w:bCs/>
      <w:color w:val="000000"/>
      <w:sz w:val="20"/>
      <w:szCs w:val="20"/>
    </w:rPr>
  </w:style>
  <w:style w:type="paragraph" w:customStyle="1" w:styleId="59">
    <w:name w:val="xl912478"/>
    <w:basedOn w:val="1"/>
    <w:qFormat/>
    <w:uiPriority w:val="99"/>
    <w:pPr>
      <w:pBdr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b/>
      <w:bCs/>
      <w:sz w:val="32"/>
      <w:szCs w:val="32"/>
    </w:rPr>
  </w:style>
  <w:style w:type="paragraph" w:customStyle="1" w:styleId="60">
    <w:name w:val="xl922478"/>
    <w:basedOn w:val="1"/>
    <w:qFormat/>
    <w:uiPriority w:val="99"/>
    <w:pPr>
      <w:spacing w:before="100" w:beforeAutospacing="1" w:after="100" w:afterAutospacing="1"/>
      <w:textAlignment w:val="center"/>
    </w:pPr>
    <w:rPr>
      <w:rFonts w:ascii="黑体" w:hAnsi="黑体" w:eastAsia="黑体"/>
      <w:color w:val="000000"/>
      <w:sz w:val="22"/>
      <w:szCs w:val="22"/>
    </w:rPr>
  </w:style>
  <w:style w:type="paragraph" w:customStyle="1" w:styleId="61">
    <w:name w:val="xl932478"/>
    <w:basedOn w:val="1"/>
    <w:qFormat/>
    <w:uiPriority w:val="99"/>
    <w:pPr>
      <w:pBdr>
        <w:top w:val="single" w:color="auto" w:sz="4" w:space="1"/>
        <w:left w:val="single" w:color="auto" w:sz="4" w:space="1"/>
        <w:bottom w:val="single" w:color="auto" w:sz="4" w:space="0"/>
        <w:right w:val="single" w:color="auto" w:sz="4" w:space="1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62">
    <w:name w:val="xl942478"/>
    <w:basedOn w:val="1"/>
    <w:qFormat/>
    <w:uiPriority w:val="99"/>
    <w:pPr>
      <w:pBdr>
        <w:top w:val="single" w:color="auto" w:sz="4" w:space="1"/>
        <w:left w:val="single" w:color="auto" w:sz="4" w:space="1"/>
        <w:bottom w:val="single" w:color="auto" w:sz="4" w:space="0"/>
        <w:right w:val="single" w:color="auto" w:sz="4" w:space="1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</w:rPr>
  </w:style>
  <w:style w:type="paragraph" w:customStyle="1" w:styleId="63">
    <w:name w:val="xl952478"/>
    <w:basedOn w:val="1"/>
    <w:qFormat/>
    <w:uiPriority w:val="99"/>
    <w:pPr>
      <w:pBdr>
        <w:top w:val="single" w:color="auto" w:sz="4" w:space="1"/>
        <w:left w:val="single" w:color="auto" w:sz="4" w:space="1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64">
    <w:name w:val="xl962478"/>
    <w:basedOn w:val="1"/>
    <w:qFormat/>
    <w:uiPriority w:val="99"/>
    <w:pPr>
      <w:pBdr>
        <w:top w:val="single" w:color="auto" w:sz="4" w:space="1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65">
    <w:name w:val="xl972478"/>
    <w:basedOn w:val="1"/>
    <w:qFormat/>
    <w:uiPriority w:val="99"/>
    <w:pPr>
      <w:pBdr>
        <w:top w:val="single" w:color="auto" w:sz="4" w:space="1"/>
        <w:bottom w:val="single" w:color="auto" w:sz="4" w:space="0"/>
        <w:right w:val="single" w:color="auto" w:sz="4" w:space="1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66">
    <w:name w:val="xl982478"/>
    <w:basedOn w:val="1"/>
    <w:qFormat/>
    <w:uiPriority w:val="99"/>
    <w:pPr>
      <w:pBdr>
        <w:top w:val="single" w:color="auto" w:sz="4" w:space="1"/>
        <w:left w:val="single" w:color="auto" w:sz="4" w:space="1"/>
        <w:bottom w:val="single" w:color="auto" w:sz="4" w:space="0"/>
        <w:right w:val="single" w:color="auto" w:sz="4" w:space="1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67">
    <w:name w:val="xl992478"/>
    <w:basedOn w:val="1"/>
    <w:qFormat/>
    <w:uiPriority w:val="99"/>
    <w:pPr>
      <w:pBdr>
        <w:top w:val="single" w:color="auto" w:sz="4" w:space="1"/>
        <w:left w:val="single" w:color="auto" w:sz="4" w:space="1"/>
        <w:bottom w:val="single" w:color="auto" w:sz="4" w:space="0"/>
        <w:right w:val="single" w:color="auto" w:sz="4" w:space="1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68">
    <w:name w:val="xl1002478"/>
    <w:basedOn w:val="1"/>
    <w:qFormat/>
    <w:uiPriority w:val="99"/>
    <w:pPr>
      <w:pBdr>
        <w:top w:val="single" w:color="auto" w:sz="4" w:space="1"/>
        <w:left w:val="single" w:color="auto" w:sz="4" w:space="1"/>
        <w:bottom w:val="single" w:color="auto" w:sz="4" w:space="0"/>
        <w:right w:val="single" w:color="auto" w:sz="4" w:space="1"/>
      </w:pBdr>
      <w:spacing w:before="100" w:beforeAutospacing="1" w:after="100" w:afterAutospacing="1"/>
      <w:textAlignment w:val="center"/>
    </w:pPr>
    <w:rPr>
      <w:color w:val="000000"/>
      <w:sz w:val="20"/>
      <w:szCs w:val="20"/>
    </w:rPr>
  </w:style>
  <w:style w:type="paragraph" w:customStyle="1" w:styleId="69">
    <w:name w:val="xl1012478"/>
    <w:basedOn w:val="1"/>
    <w:qFormat/>
    <w:uiPriority w:val="99"/>
    <w:pPr>
      <w:pBdr>
        <w:top w:val="single" w:color="auto" w:sz="4" w:space="1"/>
        <w:left w:val="single" w:color="auto" w:sz="4" w:space="1"/>
        <w:bottom w:val="single" w:color="auto" w:sz="4" w:space="0"/>
        <w:right w:val="single" w:color="auto" w:sz="4" w:space="1"/>
      </w:pBdr>
      <w:spacing w:before="100" w:beforeAutospacing="1" w:after="100" w:afterAutospacing="1"/>
      <w:textAlignment w:val="center"/>
    </w:pPr>
    <w:rPr>
      <w:color w:val="000000"/>
      <w:sz w:val="20"/>
      <w:szCs w:val="20"/>
    </w:rPr>
  </w:style>
  <w:style w:type="paragraph" w:customStyle="1" w:styleId="70">
    <w:name w:val="xl1022478"/>
    <w:basedOn w:val="1"/>
    <w:qFormat/>
    <w:uiPriority w:val="99"/>
    <w:pPr>
      <w:pBdr>
        <w:top w:val="single" w:color="auto" w:sz="4" w:space="1"/>
        <w:left w:val="single" w:color="auto" w:sz="4" w:space="1"/>
        <w:bottom w:val="single" w:color="auto" w:sz="4" w:space="0"/>
        <w:right w:val="single" w:color="auto" w:sz="4" w:space="1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71">
    <w:name w:val="xl1032478"/>
    <w:basedOn w:val="1"/>
    <w:qFormat/>
    <w:uiPriority w:val="99"/>
    <w:pPr>
      <w:pBdr>
        <w:top w:val="single" w:color="auto" w:sz="4" w:space="1"/>
        <w:left w:val="single" w:color="auto" w:sz="4" w:space="1"/>
        <w:right w:val="single" w:color="auto" w:sz="4" w:space="1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72">
    <w:name w:val="xl1042478"/>
    <w:basedOn w:val="1"/>
    <w:qFormat/>
    <w:uiPriority w:val="99"/>
    <w:pPr>
      <w:pBdr>
        <w:left w:val="single" w:color="auto" w:sz="4" w:space="1"/>
        <w:right w:val="single" w:color="auto" w:sz="4" w:space="1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73">
    <w:name w:val="xl1052478"/>
    <w:basedOn w:val="1"/>
    <w:qFormat/>
    <w:uiPriority w:val="99"/>
    <w:pPr>
      <w:pBdr>
        <w:top w:val="single" w:color="auto" w:sz="4" w:space="1"/>
        <w:left w:val="single" w:color="auto" w:sz="4" w:space="1"/>
        <w:bottom w:val="single" w:color="auto" w:sz="4" w:space="0"/>
        <w:right w:val="single" w:color="auto" w:sz="4" w:space="1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20"/>
      <w:szCs w:val="20"/>
    </w:rPr>
  </w:style>
  <w:style w:type="paragraph" w:customStyle="1" w:styleId="74">
    <w:name w:val="xl1062478"/>
    <w:basedOn w:val="1"/>
    <w:qFormat/>
    <w:uiPriority w:val="99"/>
    <w:pPr>
      <w:pBdr>
        <w:top w:val="single" w:color="auto" w:sz="4" w:space="1"/>
        <w:left w:val="single" w:color="auto" w:sz="4" w:space="1"/>
        <w:bottom w:val="single" w:color="auto" w:sz="4" w:space="0"/>
        <w:right w:val="single" w:color="auto" w:sz="4" w:space="1"/>
      </w:pBdr>
      <w:spacing w:before="100" w:beforeAutospacing="1" w:after="100" w:afterAutospacing="1"/>
      <w:textAlignment w:val="center"/>
    </w:pPr>
    <w:rPr>
      <w:color w:val="000000"/>
      <w:sz w:val="20"/>
      <w:szCs w:val="20"/>
    </w:rPr>
  </w:style>
  <w:style w:type="character" w:customStyle="1" w:styleId="75">
    <w:name w:val="页眉 字符"/>
    <w:basedOn w:val="36"/>
    <w:link w:val="22"/>
    <w:semiHidden/>
    <w:qFormat/>
    <w:locked/>
    <w:uiPriority w:val="99"/>
    <w:rPr>
      <w:rFonts w:ascii="宋体" w:hAnsi="宋体" w:eastAsia="宋体"/>
      <w:sz w:val="18"/>
    </w:rPr>
  </w:style>
  <w:style w:type="character" w:customStyle="1" w:styleId="76">
    <w:name w:val="页脚 字符"/>
    <w:basedOn w:val="36"/>
    <w:link w:val="21"/>
    <w:qFormat/>
    <w:locked/>
    <w:uiPriority w:val="99"/>
    <w:rPr>
      <w:rFonts w:ascii="宋体" w:hAnsi="宋体" w:eastAsia="宋体"/>
      <w:sz w:val="18"/>
    </w:rPr>
  </w:style>
  <w:style w:type="paragraph" w:styleId="77">
    <w:name w:val="List Paragraph"/>
    <w:basedOn w:val="1"/>
    <w:qFormat/>
    <w:uiPriority w:val="99"/>
    <w:pPr>
      <w:ind w:firstLine="420" w:firstLineChars="200"/>
    </w:pPr>
  </w:style>
  <w:style w:type="paragraph" w:customStyle="1" w:styleId="78">
    <w:name w:val="font56441"/>
    <w:basedOn w:val="1"/>
    <w:qFormat/>
    <w:uiPriority w:val="99"/>
    <w:pPr>
      <w:spacing w:before="100" w:beforeAutospacing="1" w:after="100" w:afterAutospacing="1"/>
    </w:pPr>
    <w:rPr>
      <w:sz w:val="18"/>
      <w:szCs w:val="18"/>
    </w:rPr>
  </w:style>
  <w:style w:type="paragraph" w:customStyle="1" w:styleId="79">
    <w:name w:val="font66441"/>
    <w:basedOn w:val="1"/>
    <w:qFormat/>
    <w:uiPriority w:val="99"/>
    <w:pPr>
      <w:spacing w:before="100" w:beforeAutospacing="1" w:after="100" w:afterAutospacing="1"/>
    </w:pPr>
    <w:rPr>
      <w:sz w:val="18"/>
      <w:szCs w:val="18"/>
    </w:rPr>
  </w:style>
  <w:style w:type="paragraph" w:customStyle="1" w:styleId="80">
    <w:name w:val="xl756441"/>
    <w:basedOn w:val="1"/>
    <w:qFormat/>
    <w:uiPriority w:val="99"/>
    <w:pPr>
      <w:shd w:val="clear" w:color="000000" w:fill="FFFFFF"/>
      <w:spacing w:before="100" w:beforeAutospacing="1" w:after="100" w:afterAutospacing="1"/>
      <w:textAlignment w:val="center"/>
    </w:pPr>
    <w:rPr>
      <w:color w:val="000000"/>
      <w:sz w:val="20"/>
      <w:szCs w:val="20"/>
    </w:rPr>
  </w:style>
  <w:style w:type="paragraph" w:customStyle="1" w:styleId="81">
    <w:name w:val="xl766441"/>
    <w:basedOn w:val="1"/>
    <w:qFormat/>
    <w:uiPriority w:val="99"/>
    <w:pPr>
      <w:shd w:val="clear" w:color="000000" w:fill="FFFFFF"/>
      <w:spacing w:before="100" w:beforeAutospacing="1" w:after="100" w:afterAutospacing="1"/>
      <w:textAlignment w:val="center"/>
    </w:pPr>
    <w:rPr>
      <w:b/>
      <w:bCs/>
      <w:color w:val="000000"/>
      <w:sz w:val="20"/>
      <w:szCs w:val="20"/>
    </w:rPr>
  </w:style>
  <w:style w:type="paragraph" w:customStyle="1" w:styleId="82">
    <w:name w:val="xl776441"/>
    <w:basedOn w:val="1"/>
    <w:qFormat/>
    <w:uiPriority w:val="99"/>
    <w:pPr>
      <w:shd w:val="clear" w:color="000000" w:fill="FFFFFF"/>
      <w:spacing w:before="100" w:beforeAutospacing="1" w:after="100" w:afterAutospacing="1"/>
      <w:textAlignment w:val="center"/>
    </w:pPr>
    <w:rPr>
      <w:color w:val="000000"/>
      <w:sz w:val="22"/>
      <w:szCs w:val="22"/>
    </w:rPr>
  </w:style>
  <w:style w:type="paragraph" w:customStyle="1" w:styleId="83">
    <w:name w:val="xl786441"/>
    <w:basedOn w:val="1"/>
    <w:qFormat/>
    <w:uiPriority w:val="99"/>
    <w:pPr>
      <w:shd w:val="clear" w:color="000000" w:fill="FFFFFF"/>
      <w:spacing w:before="100" w:beforeAutospacing="1" w:after="100" w:afterAutospacing="1"/>
      <w:textAlignment w:val="center"/>
    </w:pPr>
    <w:rPr>
      <w:rFonts w:ascii="黑体" w:hAnsi="黑体" w:eastAsia="黑体"/>
      <w:color w:val="000000"/>
      <w:sz w:val="22"/>
      <w:szCs w:val="22"/>
    </w:rPr>
  </w:style>
  <w:style w:type="paragraph" w:customStyle="1" w:styleId="84">
    <w:name w:val="xl796441"/>
    <w:basedOn w:val="1"/>
    <w:qFormat/>
    <w:uiPriority w:val="99"/>
    <w:pPr>
      <w:pBdr>
        <w:bottom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hAnsi="黑体" w:eastAsia="黑体"/>
      <w:sz w:val="36"/>
      <w:szCs w:val="36"/>
    </w:rPr>
  </w:style>
  <w:style w:type="paragraph" w:customStyle="1" w:styleId="85">
    <w:name w:val="xl806441"/>
    <w:basedOn w:val="1"/>
    <w:qFormat/>
    <w:uiPriority w:val="99"/>
    <w:pPr>
      <w:spacing w:before="100" w:beforeAutospacing="1" w:after="100" w:afterAutospacing="1"/>
      <w:jc w:val="center"/>
      <w:textAlignment w:val="center"/>
    </w:pPr>
    <w:rPr>
      <w:sz w:val="28"/>
      <w:szCs w:val="28"/>
    </w:rPr>
  </w:style>
  <w:style w:type="paragraph" w:customStyle="1" w:styleId="86">
    <w:name w:val="xl816441"/>
    <w:basedOn w:val="1"/>
    <w:qFormat/>
    <w:uiPriority w:val="99"/>
    <w:pPr>
      <w:shd w:val="clear" w:color="000000" w:fill="FFFFFF"/>
      <w:spacing w:before="100" w:beforeAutospacing="1" w:after="100" w:afterAutospacing="1"/>
      <w:textAlignment w:val="center"/>
    </w:pPr>
    <w:rPr>
      <w:rFonts w:ascii="仿宋_GB2312" w:eastAsia="仿宋_GB2312"/>
      <w:color w:val="000000"/>
      <w:sz w:val="22"/>
      <w:szCs w:val="22"/>
    </w:rPr>
  </w:style>
  <w:style w:type="paragraph" w:customStyle="1" w:styleId="87">
    <w:name w:val="xl826441"/>
    <w:basedOn w:val="1"/>
    <w:qFormat/>
    <w:uiPriority w:val="99"/>
    <w:pPr>
      <w:pBdr>
        <w:top w:val="single" w:color="auto" w:sz="4" w:space="1"/>
        <w:left w:val="single" w:color="auto" w:sz="4" w:space="1"/>
        <w:bottom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88">
    <w:name w:val="xl836441"/>
    <w:basedOn w:val="1"/>
    <w:qFormat/>
    <w:uiPriority w:val="99"/>
    <w:pPr>
      <w:pBdr>
        <w:top w:val="single" w:color="auto" w:sz="4" w:space="1"/>
        <w:left w:val="single" w:color="auto" w:sz="4" w:space="1"/>
        <w:bottom w:val="single" w:color="auto" w:sz="4" w:space="0"/>
        <w:right w:val="single" w:color="auto" w:sz="4" w:space="1"/>
      </w:pBdr>
      <w:shd w:val="clear" w:color="000000" w:fill="FFFFFF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89">
    <w:name w:val="xl846441"/>
    <w:basedOn w:val="1"/>
    <w:qFormat/>
    <w:uiPriority w:val="99"/>
    <w:pPr>
      <w:pBdr>
        <w:top w:val="single" w:color="auto" w:sz="4" w:space="1"/>
        <w:left w:val="single" w:color="auto" w:sz="4" w:space="1"/>
        <w:bottom w:val="single" w:color="auto" w:sz="4" w:space="0"/>
        <w:right w:val="single" w:color="auto" w:sz="4" w:space="1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90">
    <w:name w:val="xl856441"/>
    <w:basedOn w:val="1"/>
    <w:qFormat/>
    <w:uiPriority w:val="99"/>
    <w:pPr>
      <w:pBdr>
        <w:top w:val="single" w:color="auto" w:sz="4" w:space="1"/>
        <w:left w:val="single" w:color="auto" w:sz="4" w:space="1"/>
        <w:bottom w:val="single" w:color="auto" w:sz="4" w:space="0"/>
        <w:right w:val="single" w:color="auto" w:sz="4" w:space="1"/>
      </w:pBdr>
      <w:shd w:val="clear" w:color="000000" w:fill="FFFFF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91">
    <w:name w:val="xl866441"/>
    <w:basedOn w:val="1"/>
    <w:qFormat/>
    <w:uiPriority w:val="99"/>
    <w:pPr>
      <w:pBdr>
        <w:top w:val="single" w:color="auto" w:sz="4" w:space="1"/>
        <w:left w:val="single" w:color="auto" w:sz="4" w:space="1"/>
        <w:bottom w:val="single" w:color="auto" w:sz="4" w:space="0"/>
        <w:right w:val="single" w:color="auto" w:sz="4" w:space="1"/>
      </w:pBdr>
      <w:shd w:val="clear" w:color="000000" w:fill="FFFFF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92">
    <w:name w:val="xl876441"/>
    <w:basedOn w:val="1"/>
    <w:qFormat/>
    <w:uiPriority w:val="99"/>
    <w:pPr>
      <w:pBdr>
        <w:top w:val="single" w:color="auto" w:sz="4" w:space="1"/>
        <w:left w:val="single" w:color="auto" w:sz="4" w:space="1"/>
        <w:bottom w:val="single" w:color="auto" w:sz="4" w:space="0"/>
        <w:right w:val="single" w:color="auto" w:sz="4" w:space="1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93">
    <w:name w:val="xl886441"/>
    <w:basedOn w:val="1"/>
    <w:qFormat/>
    <w:uiPriority w:val="99"/>
    <w:pPr>
      <w:pBdr>
        <w:top w:val="single" w:color="auto" w:sz="4" w:space="1"/>
        <w:left w:val="single" w:color="auto" w:sz="4" w:space="1"/>
        <w:bottom w:val="single" w:color="auto" w:sz="4" w:space="0"/>
        <w:right w:val="single" w:color="auto" w:sz="4" w:space="1"/>
      </w:pBdr>
      <w:shd w:val="clear" w:color="000000" w:fill="FFFFFF"/>
      <w:spacing w:before="100" w:beforeAutospacing="1" w:after="100" w:afterAutospacing="1"/>
      <w:textAlignment w:val="center"/>
    </w:pPr>
    <w:rPr>
      <w:color w:val="000000"/>
      <w:sz w:val="20"/>
      <w:szCs w:val="20"/>
    </w:rPr>
  </w:style>
  <w:style w:type="paragraph" w:customStyle="1" w:styleId="94">
    <w:name w:val="xl896441"/>
    <w:basedOn w:val="1"/>
    <w:qFormat/>
    <w:uiPriority w:val="99"/>
    <w:pPr>
      <w:pBdr>
        <w:top w:val="single" w:color="auto" w:sz="4" w:space="1"/>
        <w:left w:val="single" w:color="auto" w:sz="4" w:space="1"/>
        <w:bottom w:val="single" w:color="auto" w:sz="4" w:space="0"/>
        <w:right w:val="single" w:color="auto" w:sz="4" w:space="1"/>
      </w:pBdr>
      <w:shd w:val="clear" w:color="000000" w:fill="FFFFF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95">
    <w:name w:val="xl906441"/>
    <w:basedOn w:val="1"/>
    <w:qFormat/>
    <w:uiPriority w:val="99"/>
    <w:pPr>
      <w:shd w:val="clear" w:color="000000" w:fill="FFFFFF"/>
      <w:spacing w:before="100" w:beforeAutospacing="1" w:after="100" w:afterAutospacing="1"/>
      <w:textAlignment w:val="center"/>
    </w:pPr>
    <w:rPr>
      <w:color w:val="000000"/>
      <w:sz w:val="22"/>
      <w:szCs w:val="22"/>
    </w:rPr>
  </w:style>
  <w:style w:type="paragraph" w:customStyle="1" w:styleId="96">
    <w:name w:val="xl916441"/>
    <w:basedOn w:val="1"/>
    <w:qFormat/>
    <w:uiPriority w:val="99"/>
    <w:pPr>
      <w:shd w:val="clear" w:color="000000" w:fill="FFFFF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97">
    <w:name w:val="xl926441"/>
    <w:basedOn w:val="1"/>
    <w:qFormat/>
    <w:uiPriority w:val="99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hAnsi="黑体" w:eastAsia="黑体"/>
      <w:sz w:val="32"/>
      <w:szCs w:val="32"/>
    </w:rPr>
  </w:style>
  <w:style w:type="paragraph" w:customStyle="1" w:styleId="98">
    <w:name w:val="xl936441"/>
    <w:basedOn w:val="1"/>
    <w:qFormat/>
    <w:uiPriority w:val="99"/>
    <w:pPr>
      <w:pBdr>
        <w:top w:val="single" w:color="auto" w:sz="4" w:space="1"/>
        <w:left w:val="single" w:color="auto" w:sz="4" w:space="1"/>
        <w:bottom w:val="single" w:color="auto" w:sz="4" w:space="0"/>
        <w:right w:val="single" w:color="auto" w:sz="4" w:space="1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000000"/>
      <w:sz w:val="20"/>
      <w:szCs w:val="20"/>
    </w:rPr>
  </w:style>
  <w:style w:type="paragraph" w:customStyle="1" w:styleId="99">
    <w:name w:val="xl946441"/>
    <w:basedOn w:val="1"/>
    <w:qFormat/>
    <w:uiPriority w:val="99"/>
    <w:pPr>
      <w:pBdr>
        <w:top w:val="single" w:color="auto" w:sz="4" w:space="1"/>
        <w:left w:val="single" w:color="auto" w:sz="4" w:space="1"/>
        <w:right w:val="single" w:color="auto" w:sz="4" w:space="1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100">
    <w:name w:val="xl956441"/>
    <w:basedOn w:val="1"/>
    <w:qFormat/>
    <w:uiPriority w:val="99"/>
    <w:pPr>
      <w:pBdr>
        <w:left w:val="single" w:color="auto" w:sz="4" w:space="1"/>
        <w:right w:val="single" w:color="auto" w:sz="4" w:space="1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101">
    <w:name w:val="xl966441"/>
    <w:basedOn w:val="1"/>
    <w:qFormat/>
    <w:uiPriority w:val="99"/>
    <w:pPr>
      <w:pBdr>
        <w:left w:val="single" w:color="auto" w:sz="4" w:space="1"/>
        <w:bottom w:val="single" w:color="auto" w:sz="4" w:space="0"/>
        <w:right w:val="single" w:color="auto" w:sz="4" w:space="1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character" w:customStyle="1" w:styleId="102">
    <w:name w:val="批注框文本 Char"/>
    <w:qFormat/>
    <w:locked/>
    <w:uiPriority w:val="99"/>
    <w:rPr>
      <w:rFonts w:ascii="Calibri" w:hAnsi="Calibri"/>
      <w:kern w:val="2"/>
      <w:sz w:val="18"/>
    </w:rPr>
  </w:style>
  <w:style w:type="character" w:customStyle="1" w:styleId="103">
    <w:name w:val="批注框文本 字符"/>
    <w:basedOn w:val="36"/>
    <w:link w:val="20"/>
    <w:semiHidden/>
    <w:qFormat/>
    <w:uiPriority w:val="99"/>
    <w:rPr>
      <w:rFonts w:ascii="宋体" w:hAnsi="宋体" w:cs="宋体"/>
      <w:kern w:val="0"/>
      <w:sz w:val="0"/>
      <w:szCs w:val="0"/>
    </w:rPr>
  </w:style>
  <w:style w:type="character" w:customStyle="1" w:styleId="104">
    <w:name w:val="脚注文本 Char"/>
    <w:qFormat/>
    <w:locked/>
    <w:uiPriority w:val="99"/>
    <w:rPr>
      <w:rFonts w:ascii="Calibri" w:hAnsi="Calibri"/>
      <w:kern w:val="2"/>
      <w:sz w:val="18"/>
    </w:rPr>
  </w:style>
  <w:style w:type="character" w:customStyle="1" w:styleId="105">
    <w:name w:val="脚注文本 字符"/>
    <w:basedOn w:val="36"/>
    <w:link w:val="26"/>
    <w:semiHidden/>
    <w:qFormat/>
    <w:uiPriority w:val="99"/>
    <w:rPr>
      <w:rFonts w:ascii="宋体" w:hAnsi="宋体" w:cs="宋体"/>
      <w:kern w:val="0"/>
      <w:sz w:val="18"/>
      <w:szCs w:val="18"/>
    </w:rPr>
  </w:style>
  <w:style w:type="character" w:customStyle="1" w:styleId="106">
    <w:name w:val="文档结构图 Char"/>
    <w:qFormat/>
    <w:locked/>
    <w:uiPriority w:val="99"/>
    <w:rPr>
      <w:rFonts w:ascii="宋体" w:hAnsi="Calibri" w:eastAsia="宋体"/>
      <w:kern w:val="2"/>
      <w:sz w:val="18"/>
    </w:rPr>
  </w:style>
  <w:style w:type="character" w:customStyle="1" w:styleId="107">
    <w:name w:val="文档结构图 字符"/>
    <w:basedOn w:val="36"/>
    <w:link w:val="12"/>
    <w:semiHidden/>
    <w:qFormat/>
    <w:uiPriority w:val="99"/>
    <w:rPr>
      <w:rFonts w:cs="宋体"/>
      <w:kern w:val="0"/>
      <w:sz w:val="0"/>
      <w:szCs w:val="0"/>
    </w:rPr>
  </w:style>
  <w:style w:type="character" w:customStyle="1" w:styleId="108">
    <w:name w:val="标题 字符"/>
    <w:basedOn w:val="36"/>
    <w:link w:val="32"/>
    <w:qFormat/>
    <w:locked/>
    <w:uiPriority w:val="99"/>
    <w:rPr>
      <w:rFonts w:ascii="Cambria" w:hAnsi="Cambria" w:eastAsia="宋体"/>
      <w:b/>
      <w:kern w:val="2"/>
      <w:sz w:val="32"/>
    </w:rPr>
  </w:style>
  <w:style w:type="character" w:customStyle="1" w:styleId="109">
    <w:name w:val="副标题 字符"/>
    <w:basedOn w:val="36"/>
    <w:link w:val="25"/>
    <w:qFormat/>
    <w:locked/>
    <w:uiPriority w:val="99"/>
    <w:rPr>
      <w:rFonts w:ascii="Cambria" w:hAnsi="Cambria" w:eastAsia="宋体"/>
      <w:b/>
      <w:kern w:val="28"/>
      <w:sz w:val="32"/>
    </w:rPr>
  </w:style>
  <w:style w:type="paragraph" w:styleId="110">
    <w:name w:val="No Spacing"/>
    <w:link w:val="111"/>
    <w:qFormat/>
    <w:uiPriority w:val="99"/>
    <w:pPr>
      <w:ind w:firstLine="200" w:firstLineChars="200"/>
    </w:pPr>
    <w:rPr>
      <w:rFonts w:ascii="Times New Roman" w:hAnsi="Times New Roman" w:eastAsia="仿宋_GB2312" w:cs="Times New Roman"/>
      <w:sz w:val="30"/>
      <w:szCs w:val="22"/>
      <w:lang w:val="en-US" w:eastAsia="zh-CN" w:bidi="ar-SA"/>
    </w:rPr>
  </w:style>
  <w:style w:type="character" w:customStyle="1" w:styleId="111">
    <w:name w:val="无间隔 字符"/>
    <w:link w:val="110"/>
    <w:qFormat/>
    <w:locked/>
    <w:uiPriority w:val="99"/>
    <w:rPr>
      <w:rFonts w:eastAsia="仿宋_GB2312"/>
      <w:sz w:val="30"/>
      <w:szCs w:val="22"/>
      <w:lang w:bidi="ar-SA"/>
    </w:rPr>
  </w:style>
  <w:style w:type="character" w:customStyle="1" w:styleId="112">
    <w:name w:val="TOC 3 字符"/>
    <w:link w:val="17"/>
    <w:qFormat/>
    <w:locked/>
    <w:uiPriority w:val="39"/>
    <w:rPr>
      <w:rFonts w:eastAsia="宋体" w:cstheme="minorHAnsi"/>
      <w:i/>
      <w:iCs/>
    </w:rPr>
  </w:style>
  <w:style w:type="character" w:customStyle="1" w:styleId="113">
    <w:name w:val="TOC 1 字符"/>
    <w:link w:val="23"/>
    <w:qFormat/>
    <w:locked/>
    <w:uiPriority w:val="39"/>
    <w:rPr>
      <w:rFonts w:eastAsia="宋体" w:cstheme="minorHAnsi"/>
      <w:b/>
      <w:bCs/>
      <w:i/>
      <w:iCs/>
      <w:caps/>
    </w:rPr>
  </w:style>
  <w:style w:type="character" w:customStyle="1" w:styleId="114">
    <w:name w:val="TOC 2 字符"/>
    <w:link w:val="28"/>
    <w:qFormat/>
    <w:locked/>
    <w:uiPriority w:val="39"/>
    <w:rPr>
      <w:rFonts w:eastAsia="宋体" w:cstheme="minorHAnsi"/>
      <w:i/>
      <w:iCs/>
      <w:smallCaps/>
    </w:rPr>
  </w:style>
  <w:style w:type="paragraph" w:customStyle="1" w:styleId="115">
    <w:name w:val="目录一"/>
    <w:basedOn w:val="28"/>
    <w:link w:val="116"/>
    <w:qFormat/>
    <w:uiPriority w:val="99"/>
    <w:rPr>
      <w:rFonts w:eastAsia="黑体"/>
      <w:b/>
      <w:iCs/>
      <w:caps/>
      <w:sz w:val="28"/>
    </w:rPr>
  </w:style>
  <w:style w:type="character" w:customStyle="1" w:styleId="116">
    <w:name w:val="目录一 Char"/>
    <w:link w:val="115"/>
    <w:qFormat/>
    <w:locked/>
    <w:uiPriority w:val="99"/>
    <w:rPr>
      <w:rFonts w:ascii="华文中宋" w:hAnsi="华文中宋" w:eastAsia="黑体"/>
      <w:b/>
      <w:caps/>
      <w:smallCaps/>
      <w:kern w:val="2"/>
      <w:sz w:val="28"/>
    </w:rPr>
  </w:style>
  <w:style w:type="paragraph" w:customStyle="1" w:styleId="117">
    <w:name w:val="目录1"/>
    <w:basedOn w:val="17"/>
    <w:link w:val="118"/>
    <w:qFormat/>
    <w:uiPriority w:val="99"/>
    <w:pPr>
      <w:spacing w:line="400" w:lineRule="exact"/>
    </w:pPr>
    <w:rPr>
      <w:sz w:val="28"/>
    </w:rPr>
  </w:style>
  <w:style w:type="character" w:customStyle="1" w:styleId="118">
    <w:name w:val="目录1 Char"/>
    <w:link w:val="117"/>
    <w:qFormat/>
    <w:locked/>
    <w:uiPriority w:val="99"/>
    <w:rPr>
      <w:rFonts w:ascii="黑体" w:hAnsi="黑体" w:eastAsia="黑体"/>
      <w:kern w:val="2"/>
      <w:sz w:val="28"/>
    </w:rPr>
  </w:style>
  <w:style w:type="paragraph" w:customStyle="1" w:styleId="119">
    <w:name w:val="目录标题"/>
    <w:basedOn w:val="3"/>
    <w:link w:val="120"/>
    <w:qFormat/>
    <w:uiPriority w:val="99"/>
    <w:pPr>
      <w:ind w:firstLine="200"/>
    </w:pPr>
    <w:rPr>
      <w:bCs w:val="0"/>
      <w:sz w:val="44"/>
      <w:szCs w:val="20"/>
    </w:rPr>
  </w:style>
  <w:style w:type="character" w:customStyle="1" w:styleId="120">
    <w:name w:val="目录标题 Char"/>
    <w:link w:val="119"/>
    <w:qFormat/>
    <w:locked/>
    <w:uiPriority w:val="99"/>
    <w:rPr>
      <w:rFonts w:ascii="宋体" w:hAnsi="宋体" w:eastAsia="华文中宋"/>
      <w:sz w:val="44"/>
    </w:rPr>
  </w:style>
  <w:style w:type="paragraph" w:customStyle="1" w:styleId="121">
    <w:name w:val="目录（一）"/>
    <w:basedOn w:val="117"/>
    <w:link w:val="122"/>
    <w:qFormat/>
    <w:uiPriority w:val="99"/>
    <w:rPr>
      <w:sz w:val="24"/>
    </w:rPr>
  </w:style>
  <w:style w:type="character" w:customStyle="1" w:styleId="122">
    <w:name w:val="目录（一） Char"/>
    <w:link w:val="121"/>
    <w:qFormat/>
    <w:locked/>
    <w:uiPriority w:val="99"/>
    <w:rPr>
      <w:rFonts w:ascii="黑体" w:hAnsi="黑体" w:eastAsia="黑体"/>
      <w:kern w:val="2"/>
      <w:sz w:val="24"/>
    </w:rPr>
  </w:style>
  <w:style w:type="character" w:customStyle="1" w:styleId="123">
    <w:name w:val="访问过的超链接1"/>
    <w:qFormat/>
    <w:uiPriority w:val="99"/>
    <w:rPr>
      <w:rFonts w:eastAsia="宋体"/>
      <w:color w:val="800080"/>
      <w:kern w:val="2"/>
      <w:sz w:val="24"/>
      <w:u w:val="single"/>
      <w:lang w:val="en-US" w:eastAsia="zh-CN"/>
    </w:rPr>
  </w:style>
  <w:style w:type="character" w:customStyle="1" w:styleId="124">
    <w:name w:val="Body Text Indent Char"/>
    <w:qFormat/>
    <w:locked/>
    <w:uiPriority w:val="99"/>
    <w:rPr>
      <w:rFonts w:ascii="仿宋_GB2312" w:eastAsia="仿宋_GB2312"/>
      <w:sz w:val="30"/>
    </w:rPr>
  </w:style>
  <w:style w:type="character" w:customStyle="1" w:styleId="125">
    <w:name w:val="Body Text Indent Char1"/>
    <w:basedOn w:val="36"/>
    <w:semiHidden/>
    <w:qFormat/>
    <w:uiPriority w:val="99"/>
    <w:rPr>
      <w:rFonts w:ascii="仿宋_GB2312" w:hAnsi="宋体" w:eastAsia="仿宋_GB2312"/>
      <w:color w:val="000000"/>
      <w:kern w:val="16"/>
      <w:sz w:val="30"/>
    </w:rPr>
  </w:style>
  <w:style w:type="character" w:customStyle="1" w:styleId="126">
    <w:name w:val="正文文本缩进 字符"/>
    <w:link w:val="15"/>
    <w:qFormat/>
    <w:locked/>
    <w:uiPriority w:val="99"/>
    <w:rPr>
      <w:rFonts w:ascii="仿宋_GB2312" w:hAnsi="Calibri" w:eastAsia="仿宋_GB2312"/>
      <w:sz w:val="30"/>
    </w:rPr>
  </w:style>
  <w:style w:type="character" w:customStyle="1" w:styleId="127">
    <w:name w:val="批注文字 字符"/>
    <w:basedOn w:val="36"/>
    <w:link w:val="13"/>
    <w:semiHidden/>
    <w:qFormat/>
    <w:locked/>
    <w:uiPriority w:val="99"/>
    <w:rPr>
      <w:rFonts w:ascii="仿宋_GB2312" w:hAnsi="宋体" w:eastAsia="仿宋_GB2312"/>
      <w:color w:val="000000"/>
      <w:kern w:val="16"/>
      <w:sz w:val="30"/>
    </w:rPr>
  </w:style>
  <w:style w:type="character" w:customStyle="1" w:styleId="128">
    <w:name w:val="批注主题 字符"/>
    <w:basedOn w:val="127"/>
    <w:link w:val="33"/>
    <w:semiHidden/>
    <w:qFormat/>
    <w:locked/>
    <w:uiPriority w:val="99"/>
    <w:rPr>
      <w:rFonts w:ascii="仿宋_GB2312" w:hAnsi="宋体" w:eastAsia="仿宋_GB2312"/>
      <w:b/>
      <w:color w:val="000000"/>
      <w:kern w:val="16"/>
      <w:sz w:val="30"/>
    </w:rPr>
  </w:style>
  <w:style w:type="paragraph" w:customStyle="1" w:styleId="129">
    <w:name w:val="默认段落字体 Para Char Char Char Char Char Char Char"/>
    <w:basedOn w:val="1"/>
    <w:qFormat/>
    <w:uiPriority w:val="99"/>
    <w:pPr>
      <w:widowControl w:val="0"/>
      <w:jc w:val="both"/>
    </w:pPr>
    <w:rPr>
      <w:rFonts w:ascii="Arial" w:hAnsi="Arial" w:cs="Arial"/>
      <w:kern w:val="2"/>
      <w:sz w:val="20"/>
      <w:szCs w:val="20"/>
    </w:rPr>
  </w:style>
  <w:style w:type="paragraph" w:customStyle="1" w:styleId="130">
    <w:name w:val="Char"/>
    <w:basedOn w:val="1"/>
    <w:qFormat/>
    <w:uiPriority w:val="99"/>
    <w:pPr>
      <w:widowControl w:val="0"/>
      <w:jc w:val="both"/>
    </w:pPr>
    <w:rPr>
      <w:rFonts w:ascii="仿宋_GB2312" w:eastAsia="仿宋_GB2312" w:cs="仿宋_GB2312"/>
      <w:color w:val="000000"/>
      <w:kern w:val="16"/>
      <w:sz w:val="30"/>
      <w:szCs w:val="30"/>
    </w:rPr>
  </w:style>
  <w:style w:type="paragraph" w:customStyle="1" w:styleId="131">
    <w:name w:val="样式5"/>
    <w:basedOn w:val="2"/>
    <w:qFormat/>
    <w:uiPriority w:val="99"/>
    <w:pPr>
      <w:widowControl/>
      <w:tabs>
        <w:tab w:val="left" w:pos="794"/>
        <w:tab w:val="left" w:pos="2127"/>
        <w:tab w:val="left" w:pos="2410"/>
        <w:tab w:val="left" w:pos="2921"/>
        <w:tab w:val="left" w:pos="3261"/>
      </w:tabs>
      <w:overflowPunct w:val="0"/>
      <w:autoSpaceDE w:val="0"/>
      <w:autoSpaceDN w:val="0"/>
      <w:adjustRightInd w:val="0"/>
      <w:spacing w:beforeLines="50" w:afterLines="50" w:line="240" w:lineRule="auto"/>
      <w:ind w:left="1276"/>
      <w:jc w:val="center"/>
      <w:textAlignment w:val="baseline"/>
    </w:pPr>
    <w:rPr>
      <w:rFonts w:ascii="黑体" w:eastAsia="黑体" w:cs="黑体"/>
      <w:b w:val="0"/>
      <w:kern w:val="0"/>
      <w:sz w:val="36"/>
      <w:szCs w:val="36"/>
      <w:lang w:val="en-GB"/>
    </w:rPr>
  </w:style>
  <w:style w:type="paragraph" w:customStyle="1" w:styleId="132">
    <w:name w:val="Char Char Char Char Char Char Char"/>
    <w:basedOn w:val="12"/>
    <w:qFormat/>
    <w:uiPriority w:val="99"/>
    <w:pPr>
      <w:shd w:val="clear" w:color="auto" w:fill="000080"/>
      <w:adjustRightInd w:val="0"/>
      <w:spacing w:line="360" w:lineRule="auto"/>
      <w:ind w:left="1276"/>
      <w:jc w:val="center"/>
      <w:outlineLvl w:val="3"/>
    </w:pPr>
    <w:rPr>
      <w:rFonts w:ascii="Tahoma" w:hAnsi="Tahoma" w:eastAsia="仿宋_GB2312" w:cs="Tahoma"/>
      <w:color w:val="000000"/>
      <w:kern w:val="16"/>
      <w:sz w:val="24"/>
      <w:szCs w:val="24"/>
    </w:rPr>
  </w:style>
  <w:style w:type="paragraph" w:customStyle="1" w:styleId="133">
    <w:name w:val="样式 标题 2一级条标题l22Heading 2 CharH2H3二级h22nd levelheading ...1"/>
    <w:basedOn w:val="3"/>
    <w:qFormat/>
    <w:uiPriority w:val="99"/>
    <w:pPr>
      <w:spacing w:beforeLines="50" w:afterLines="50"/>
      <w:ind w:left="1276"/>
    </w:pPr>
    <w:rPr>
      <w:rFonts w:ascii="黑体" w:hAnsi="Times New Roman" w:eastAsia="黑体" w:cs="黑体"/>
      <w:bCs w:val="0"/>
      <w:color w:val="000000"/>
      <w:kern w:val="16"/>
      <w:szCs w:val="30"/>
    </w:rPr>
  </w:style>
  <w:style w:type="paragraph" w:customStyle="1" w:styleId="134">
    <w:name w:val="tgt1"/>
    <w:basedOn w:val="1"/>
    <w:qFormat/>
    <w:uiPriority w:val="99"/>
    <w:pPr>
      <w:spacing w:after="150"/>
    </w:pPr>
  </w:style>
  <w:style w:type="paragraph" w:customStyle="1" w:styleId="135">
    <w:name w:val="样式 标题 3二级条标题h3第二层条第三层1.1.1 标题 3l3CT3h4Heading 3 - old...2"/>
    <w:basedOn w:val="1"/>
    <w:qFormat/>
    <w:uiPriority w:val="99"/>
    <w:pPr>
      <w:widowControl w:val="0"/>
      <w:ind w:left="1276"/>
      <w:jc w:val="both"/>
    </w:pPr>
    <w:rPr>
      <w:rFonts w:ascii="仿宋_GB2312" w:eastAsia="仿宋_GB2312" w:cs="仿宋_GB2312"/>
      <w:color w:val="000000"/>
      <w:kern w:val="16"/>
      <w:sz w:val="30"/>
      <w:szCs w:val="30"/>
    </w:rPr>
  </w:style>
  <w:style w:type="paragraph" w:customStyle="1" w:styleId="136">
    <w:name w:val="Char Char Char Char"/>
    <w:basedOn w:val="1"/>
    <w:qFormat/>
    <w:uiPriority w:val="99"/>
    <w:pPr>
      <w:widowControl w:val="0"/>
      <w:tabs>
        <w:tab w:val="left" w:pos="1415"/>
      </w:tabs>
      <w:ind w:left="1415" w:hanging="855"/>
      <w:jc w:val="both"/>
    </w:pPr>
    <w:rPr>
      <w:rFonts w:ascii="Times New Roman" w:hAnsi="Times New Roman" w:cs="Times New Roman"/>
      <w:kern w:val="2"/>
    </w:rPr>
  </w:style>
  <w:style w:type="paragraph" w:customStyle="1" w:styleId="137">
    <w:name w:val="修订1"/>
    <w:hidden/>
    <w:semiHidden/>
    <w:qFormat/>
    <w:uiPriority w:val="99"/>
    <w:rPr>
      <w:rFonts w:ascii="仿宋_GB2312" w:hAnsi="宋体" w:eastAsia="仿宋_GB2312" w:cs="仿宋_GB2312"/>
      <w:color w:val="000000"/>
      <w:kern w:val="16"/>
      <w:sz w:val="30"/>
      <w:szCs w:val="30"/>
      <w:lang w:val="en-US" w:eastAsia="zh-CN" w:bidi="ar-SA"/>
    </w:rPr>
  </w:style>
  <w:style w:type="paragraph" w:customStyle="1" w:styleId="138">
    <w:name w:val="样式1"/>
    <w:basedOn w:val="1"/>
    <w:link w:val="139"/>
    <w:qFormat/>
    <w:uiPriority w:val="99"/>
    <w:pPr>
      <w:jc w:val="both"/>
    </w:pPr>
    <w:rPr>
      <w:rFonts w:ascii="仿宋_GB2312" w:eastAsia="仿宋_GB2312" w:cs="Times New Roman"/>
      <w:kern w:val="16"/>
      <w:sz w:val="30"/>
      <w:szCs w:val="20"/>
    </w:rPr>
  </w:style>
  <w:style w:type="character" w:customStyle="1" w:styleId="139">
    <w:name w:val="样式1 Char"/>
    <w:link w:val="138"/>
    <w:qFormat/>
    <w:locked/>
    <w:uiPriority w:val="99"/>
    <w:rPr>
      <w:rFonts w:ascii="仿宋_GB2312" w:hAnsi="宋体" w:eastAsia="仿宋_GB2312"/>
      <w:kern w:val="16"/>
      <w:sz w:val="30"/>
    </w:rPr>
  </w:style>
  <w:style w:type="character" w:customStyle="1" w:styleId="140">
    <w:name w:val="HTML 预设格式 字符"/>
    <w:basedOn w:val="36"/>
    <w:link w:val="30"/>
    <w:semiHidden/>
    <w:qFormat/>
    <w:locked/>
    <w:uiPriority w:val="99"/>
    <w:rPr>
      <w:rFonts w:ascii="宋体" w:hAnsi="宋体" w:eastAsia="宋体"/>
      <w:sz w:val="24"/>
    </w:rPr>
  </w:style>
  <w:style w:type="paragraph" w:customStyle="1" w:styleId="141">
    <w:name w:val="TOC 标题1"/>
    <w:basedOn w:val="2"/>
    <w:next w:val="1"/>
    <w:qFormat/>
    <w:uiPriority w:val="99"/>
    <w:pPr>
      <w:widowControl/>
      <w:spacing w:before="480" w:after="0" w:line="276" w:lineRule="auto"/>
      <w:jc w:val="left"/>
      <w:outlineLvl w:val="9"/>
    </w:pPr>
    <w:rPr>
      <w:rFonts w:ascii="Cambria" w:hAnsi="Cambria" w:eastAsia="宋体" w:cs="Cambria"/>
      <w:bCs/>
      <w:color w:val="365F91"/>
      <w:kern w:val="0"/>
      <w:sz w:val="28"/>
      <w:szCs w:val="28"/>
    </w:rPr>
  </w:style>
  <w:style w:type="paragraph" w:customStyle="1" w:styleId="142">
    <w:name w:val="TOC 标题2"/>
    <w:basedOn w:val="2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bCs/>
      <w:color w:val="376092" w:themeColor="accent1" w:themeShade="BF"/>
      <w:kern w:val="0"/>
      <w:sz w:val="28"/>
      <w:szCs w:val="28"/>
    </w:rPr>
  </w:style>
  <w:style w:type="table" w:customStyle="1" w:styleId="143">
    <w:name w:val="Table Normal"/>
    <w:semiHidden/>
    <w:unhideWhenUsed/>
    <w:qFormat/>
    <w:uiPriority w:val="2"/>
    <w:pPr>
      <w:widowControl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4">
    <w:name w:val="Table Paragraph"/>
    <w:basedOn w:val="1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eastAsia="en-US"/>
    </w:rPr>
  </w:style>
  <w:style w:type="table" w:customStyle="1" w:styleId="145">
    <w:name w:val="Table Normal1"/>
    <w:semiHidden/>
    <w:unhideWhenUsed/>
    <w:qFormat/>
    <w:uiPriority w:val="2"/>
    <w:pPr>
      <w:widowControl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46">
    <w:name w:val="Table Normal2"/>
    <w:semiHidden/>
    <w:unhideWhenUsed/>
    <w:qFormat/>
    <w:uiPriority w:val="2"/>
    <w:pPr>
      <w:widowControl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47">
    <w:name w:val="未处理的提及1"/>
    <w:basedOn w:val="36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8">
    <w:name w:val="TOC 标题3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376092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8.png"/><Relationship Id="rId17" Type="http://schemas.openxmlformats.org/officeDocument/2006/relationships/image" Target="media/image7.png"/><Relationship Id="rId16" Type="http://schemas.openxmlformats.org/officeDocument/2006/relationships/image" Target="media/image6.png"/><Relationship Id="rId15" Type="http://schemas.openxmlformats.org/officeDocument/2006/relationships/image" Target="media/image5.png"/><Relationship Id="rId14" Type="http://schemas.openxmlformats.org/officeDocument/2006/relationships/image" Target="media/image4.png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4ECC402-30A2-44C3-9BE5-E507265D01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1228</Words>
  <Characters>7000</Characters>
  <Lines>58</Lines>
  <Paragraphs>16</Paragraphs>
  <TotalTime>104</TotalTime>
  <ScaleCrop>false</ScaleCrop>
  <LinksUpToDate>false</LinksUpToDate>
  <CharactersWithSpaces>8212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2020-03-18T11:37:00Z</dcterms:created>
  <dc:creator>K2450</dc:creator>
  <cp:lastModifiedBy>mengq1.</cp:lastModifiedBy>
  <cp:lastPrinted>2018-03-01T03:24:00Z</cp:lastPrinted>
  <dcterms:modified xsi:type="dcterms:W3CDTF">2021-01-04T02:17:02Z</dcterms:modified>
  <dc:title>政府部门财务报告编制操作指南</dc:title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